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6103F" w14:textId="77777777" w:rsidR="00E75257" w:rsidRPr="00824BF6" w:rsidRDefault="00E75257" w:rsidP="00E75257">
      <w:pPr>
        <w:ind w:left="708" w:hanging="708"/>
        <w:rPr>
          <w:sz w:val="22"/>
          <w:szCs w:val="22"/>
        </w:rPr>
      </w:pPr>
    </w:p>
    <w:p w14:paraId="4F39FBDB" w14:textId="77777777" w:rsidR="00E75257" w:rsidRPr="00824BF6" w:rsidRDefault="00E75257" w:rsidP="00E75257">
      <w:pPr>
        <w:rPr>
          <w:sz w:val="22"/>
          <w:szCs w:val="22"/>
        </w:rPr>
      </w:pPr>
    </w:p>
    <w:p w14:paraId="7E7FD885" w14:textId="77777777" w:rsidR="00E75257" w:rsidRPr="00824BF6" w:rsidRDefault="00E75257" w:rsidP="00E75257">
      <w:pPr>
        <w:ind w:left="708" w:hanging="708"/>
        <w:rPr>
          <w:sz w:val="22"/>
          <w:szCs w:val="22"/>
        </w:rPr>
      </w:pPr>
    </w:p>
    <w:p w14:paraId="09A26FF7" w14:textId="77777777" w:rsidR="00E75257" w:rsidRPr="00824BF6" w:rsidRDefault="00E75257" w:rsidP="00E75257">
      <w:pPr>
        <w:pBdr>
          <w:top w:val="nil"/>
          <w:left w:val="nil"/>
          <w:bottom w:val="nil"/>
          <w:right w:val="nil"/>
          <w:between w:val="nil"/>
        </w:pBdr>
        <w:jc w:val="center"/>
        <w:rPr>
          <w:rFonts w:eastAsia="Arial"/>
          <w:b/>
          <w:color w:val="000000"/>
          <w:sz w:val="22"/>
          <w:szCs w:val="22"/>
        </w:rPr>
      </w:pPr>
      <w:r w:rsidRPr="00824BF6">
        <w:rPr>
          <w:rFonts w:eastAsia="Arial"/>
          <w:b/>
          <w:color w:val="000000"/>
          <w:sz w:val="22"/>
          <w:szCs w:val="22"/>
        </w:rPr>
        <w:t>Justificación Técnica y Financiera</w:t>
      </w:r>
    </w:p>
    <w:p w14:paraId="37ADFDC5" w14:textId="77777777" w:rsidR="00E75257" w:rsidRPr="00824BF6" w:rsidRDefault="00E75257" w:rsidP="00E75257">
      <w:pPr>
        <w:ind w:left="708" w:hanging="708"/>
        <w:jc w:val="center"/>
        <w:rPr>
          <w:sz w:val="22"/>
          <w:szCs w:val="22"/>
        </w:rPr>
      </w:pPr>
    </w:p>
    <w:p w14:paraId="28ED3A65" w14:textId="7542A78F" w:rsidR="00E75257" w:rsidRPr="00824BF6" w:rsidRDefault="00E75257" w:rsidP="00E75257">
      <w:pPr>
        <w:ind w:left="708" w:hanging="708"/>
        <w:rPr>
          <w:sz w:val="22"/>
          <w:szCs w:val="22"/>
        </w:rPr>
      </w:pPr>
    </w:p>
    <w:p w14:paraId="1923024D" w14:textId="6F1C066E" w:rsidR="00224391" w:rsidRPr="00824BF6" w:rsidRDefault="00224391" w:rsidP="00E75257">
      <w:pPr>
        <w:ind w:left="708" w:hanging="708"/>
        <w:rPr>
          <w:sz w:val="22"/>
          <w:szCs w:val="22"/>
        </w:rPr>
      </w:pPr>
    </w:p>
    <w:p w14:paraId="212FAE96" w14:textId="77777777" w:rsidR="00224391" w:rsidRPr="00824BF6" w:rsidRDefault="00224391" w:rsidP="00E75257">
      <w:pPr>
        <w:ind w:left="708" w:hanging="708"/>
        <w:rPr>
          <w:sz w:val="22"/>
          <w:szCs w:val="22"/>
        </w:rPr>
      </w:pPr>
    </w:p>
    <w:p w14:paraId="3DB36DF6" w14:textId="77777777" w:rsidR="00C27585" w:rsidRPr="00824BF6" w:rsidRDefault="00C27585" w:rsidP="00E75257">
      <w:pPr>
        <w:ind w:left="708" w:hanging="708"/>
        <w:rPr>
          <w:sz w:val="22"/>
          <w:szCs w:val="22"/>
        </w:rPr>
      </w:pPr>
    </w:p>
    <w:p w14:paraId="33E95BD9" w14:textId="77777777" w:rsidR="001C1554" w:rsidRDefault="001C1554" w:rsidP="00E75257">
      <w:pPr>
        <w:jc w:val="center"/>
        <w:rPr>
          <w:b/>
          <w:sz w:val="22"/>
          <w:szCs w:val="22"/>
        </w:rPr>
      </w:pPr>
    </w:p>
    <w:p w14:paraId="2FE607A3" w14:textId="5D3ACD78" w:rsidR="00E75257" w:rsidRPr="00824BF6" w:rsidRDefault="00224391" w:rsidP="00E75257">
      <w:pPr>
        <w:jc w:val="center"/>
        <w:rPr>
          <w:b/>
          <w:sz w:val="22"/>
          <w:szCs w:val="22"/>
        </w:rPr>
      </w:pPr>
      <w:r w:rsidRPr="00824BF6">
        <w:rPr>
          <w:b/>
          <w:sz w:val="22"/>
          <w:szCs w:val="22"/>
        </w:rPr>
        <w:t>Proyecto No. 7919</w:t>
      </w:r>
    </w:p>
    <w:p w14:paraId="21F81F75" w14:textId="77777777" w:rsidR="001C1554" w:rsidRDefault="001C1554" w:rsidP="00224391">
      <w:pPr>
        <w:jc w:val="center"/>
        <w:rPr>
          <w:sz w:val="22"/>
          <w:szCs w:val="22"/>
        </w:rPr>
      </w:pPr>
    </w:p>
    <w:p w14:paraId="285A4FB7" w14:textId="1A7552D9" w:rsidR="00E75257" w:rsidRPr="006C5BCA" w:rsidRDefault="00224391" w:rsidP="00224391">
      <w:pPr>
        <w:jc w:val="center"/>
        <w:rPr>
          <w:b/>
          <w:bCs/>
          <w:sz w:val="22"/>
          <w:szCs w:val="22"/>
        </w:rPr>
      </w:pPr>
      <w:r w:rsidRPr="006C5BCA">
        <w:rPr>
          <w:b/>
          <w:bCs/>
          <w:sz w:val="22"/>
          <w:szCs w:val="22"/>
        </w:rPr>
        <w:t xml:space="preserve">Nombre del proyecto: Generación </w:t>
      </w:r>
      <w:r w:rsidRPr="006C5BCA">
        <w:rPr>
          <w:rFonts w:eastAsia="Arial"/>
          <w:b/>
          <w:bCs/>
          <w:sz w:val="22"/>
          <w:szCs w:val="22"/>
        </w:rPr>
        <w:t xml:space="preserve">de capacidades para la creación del centro de desarrollo tecnológico de producción de biológicos. </w:t>
      </w:r>
    </w:p>
    <w:p w14:paraId="2BB0F19A" w14:textId="4929C0E0" w:rsidR="00E75257" w:rsidRPr="006C5BCA" w:rsidRDefault="00E75257" w:rsidP="00E75257">
      <w:pPr>
        <w:rPr>
          <w:b/>
          <w:bCs/>
          <w:sz w:val="22"/>
          <w:szCs w:val="22"/>
        </w:rPr>
      </w:pPr>
    </w:p>
    <w:p w14:paraId="61D93028" w14:textId="6419661D" w:rsidR="00C27585" w:rsidRPr="006C5BCA" w:rsidRDefault="00C27585" w:rsidP="00E75257">
      <w:pPr>
        <w:rPr>
          <w:b/>
          <w:bCs/>
          <w:sz w:val="22"/>
          <w:szCs w:val="22"/>
        </w:rPr>
      </w:pPr>
    </w:p>
    <w:p w14:paraId="3D6F62D7" w14:textId="752FB90E" w:rsidR="00C27585" w:rsidRPr="006C5BCA" w:rsidRDefault="00C27585" w:rsidP="00E75257">
      <w:pPr>
        <w:rPr>
          <w:b/>
          <w:bCs/>
          <w:sz w:val="22"/>
          <w:szCs w:val="22"/>
        </w:rPr>
      </w:pPr>
    </w:p>
    <w:p w14:paraId="42DB3DF4" w14:textId="6FE49AD2" w:rsidR="00C27585" w:rsidRPr="006C5BCA" w:rsidRDefault="00C27585" w:rsidP="00E75257">
      <w:pPr>
        <w:rPr>
          <w:b/>
          <w:bCs/>
          <w:sz w:val="22"/>
          <w:szCs w:val="22"/>
        </w:rPr>
      </w:pPr>
    </w:p>
    <w:p w14:paraId="30145AAF" w14:textId="17E7B0BC" w:rsidR="00C27585" w:rsidRPr="006C5BCA" w:rsidRDefault="00C27585" w:rsidP="00E75257">
      <w:pPr>
        <w:rPr>
          <w:b/>
          <w:bCs/>
          <w:sz w:val="22"/>
          <w:szCs w:val="22"/>
        </w:rPr>
      </w:pPr>
    </w:p>
    <w:p w14:paraId="2E73E8E0" w14:textId="2FB9A547" w:rsidR="00C27585" w:rsidRPr="006C5BCA" w:rsidRDefault="00C27585" w:rsidP="00E75257">
      <w:pPr>
        <w:rPr>
          <w:b/>
          <w:bCs/>
          <w:sz w:val="22"/>
          <w:szCs w:val="22"/>
        </w:rPr>
      </w:pPr>
    </w:p>
    <w:p w14:paraId="00066EB6" w14:textId="77777777" w:rsidR="00C27585" w:rsidRPr="006C5BCA" w:rsidRDefault="00C27585" w:rsidP="00E75257">
      <w:pPr>
        <w:rPr>
          <w:b/>
          <w:bCs/>
          <w:sz w:val="22"/>
          <w:szCs w:val="22"/>
        </w:rPr>
      </w:pPr>
    </w:p>
    <w:p w14:paraId="3E317DC8" w14:textId="77777777" w:rsidR="00E75257" w:rsidRPr="006C5BCA" w:rsidRDefault="00E75257" w:rsidP="00E75257">
      <w:pPr>
        <w:ind w:left="708" w:hanging="708"/>
        <w:rPr>
          <w:b/>
          <w:bCs/>
          <w:sz w:val="22"/>
          <w:szCs w:val="22"/>
        </w:rPr>
      </w:pPr>
    </w:p>
    <w:p w14:paraId="0BB33D86" w14:textId="34061CA6" w:rsidR="00E75257" w:rsidRPr="006C5BCA" w:rsidRDefault="003650AE" w:rsidP="00E75257">
      <w:pPr>
        <w:ind w:left="708" w:hanging="708"/>
        <w:jc w:val="center"/>
        <w:rPr>
          <w:b/>
          <w:bCs/>
          <w:sz w:val="22"/>
          <w:szCs w:val="22"/>
        </w:rPr>
      </w:pPr>
      <w:r w:rsidRPr="006C5BCA">
        <w:rPr>
          <w:b/>
          <w:bCs/>
          <w:sz w:val="22"/>
          <w:szCs w:val="22"/>
        </w:rPr>
        <w:t>Secretarí</w:t>
      </w:r>
      <w:r w:rsidR="00E75257" w:rsidRPr="006C5BCA">
        <w:rPr>
          <w:b/>
          <w:bCs/>
          <w:sz w:val="22"/>
          <w:szCs w:val="22"/>
        </w:rPr>
        <w:t>a Distrital de Salud</w:t>
      </w:r>
    </w:p>
    <w:p w14:paraId="764BE550" w14:textId="77777777" w:rsidR="00E75257" w:rsidRPr="006C5BCA" w:rsidRDefault="00E75257" w:rsidP="00E75257">
      <w:pPr>
        <w:ind w:left="708" w:hanging="708"/>
        <w:rPr>
          <w:b/>
          <w:bCs/>
          <w:sz w:val="22"/>
          <w:szCs w:val="22"/>
        </w:rPr>
      </w:pPr>
    </w:p>
    <w:p w14:paraId="58A931A3" w14:textId="77777777" w:rsidR="00E75257" w:rsidRPr="006C5BCA" w:rsidRDefault="00E75257" w:rsidP="00E75257">
      <w:pPr>
        <w:rPr>
          <w:b/>
          <w:bCs/>
          <w:sz w:val="22"/>
          <w:szCs w:val="22"/>
        </w:rPr>
      </w:pPr>
    </w:p>
    <w:p w14:paraId="6DE2128E" w14:textId="77777777" w:rsidR="00E75257" w:rsidRPr="006C5BCA" w:rsidRDefault="00E75257" w:rsidP="00E75257">
      <w:pPr>
        <w:rPr>
          <w:b/>
          <w:bCs/>
          <w:sz w:val="22"/>
          <w:szCs w:val="22"/>
        </w:rPr>
      </w:pPr>
    </w:p>
    <w:p w14:paraId="14EEB159" w14:textId="77777777" w:rsidR="00E75257" w:rsidRPr="006C5BCA" w:rsidRDefault="00E75257" w:rsidP="00E75257">
      <w:pPr>
        <w:rPr>
          <w:b/>
          <w:bCs/>
          <w:sz w:val="22"/>
          <w:szCs w:val="22"/>
        </w:rPr>
      </w:pPr>
    </w:p>
    <w:p w14:paraId="24165C34" w14:textId="77777777" w:rsidR="00E75257" w:rsidRPr="006C5BCA" w:rsidRDefault="00E75257" w:rsidP="00E75257">
      <w:pPr>
        <w:rPr>
          <w:b/>
          <w:bCs/>
          <w:sz w:val="22"/>
          <w:szCs w:val="22"/>
        </w:rPr>
      </w:pPr>
    </w:p>
    <w:p w14:paraId="08DC0B90" w14:textId="77777777" w:rsidR="00E75257" w:rsidRPr="006C5BCA" w:rsidRDefault="00E75257" w:rsidP="00E75257">
      <w:pPr>
        <w:rPr>
          <w:b/>
          <w:bCs/>
          <w:sz w:val="22"/>
          <w:szCs w:val="22"/>
        </w:rPr>
      </w:pPr>
    </w:p>
    <w:p w14:paraId="7CB45087" w14:textId="77777777" w:rsidR="00E75257" w:rsidRPr="006C5BCA" w:rsidRDefault="00E75257" w:rsidP="00E75257">
      <w:pPr>
        <w:rPr>
          <w:b/>
          <w:bCs/>
          <w:sz w:val="22"/>
          <w:szCs w:val="22"/>
        </w:rPr>
      </w:pPr>
    </w:p>
    <w:p w14:paraId="2C82343E" w14:textId="77777777" w:rsidR="00E75257" w:rsidRPr="006C5BCA" w:rsidRDefault="00E75257" w:rsidP="00E75257">
      <w:pPr>
        <w:rPr>
          <w:b/>
          <w:bCs/>
          <w:sz w:val="22"/>
          <w:szCs w:val="22"/>
        </w:rPr>
      </w:pPr>
    </w:p>
    <w:p w14:paraId="1A1B0944" w14:textId="77777777" w:rsidR="00E75257" w:rsidRPr="006C5BCA" w:rsidRDefault="00E75257" w:rsidP="00E75257">
      <w:pPr>
        <w:rPr>
          <w:b/>
          <w:bCs/>
          <w:sz w:val="22"/>
          <w:szCs w:val="22"/>
        </w:rPr>
      </w:pPr>
    </w:p>
    <w:p w14:paraId="1A3F27E8" w14:textId="77777777" w:rsidR="00E75257" w:rsidRPr="006C5BCA" w:rsidRDefault="00E75257" w:rsidP="00E75257">
      <w:pPr>
        <w:rPr>
          <w:b/>
          <w:bCs/>
          <w:sz w:val="22"/>
          <w:szCs w:val="22"/>
        </w:rPr>
      </w:pPr>
    </w:p>
    <w:p w14:paraId="03EABD96" w14:textId="77777777" w:rsidR="00E75257" w:rsidRPr="006C5BCA" w:rsidRDefault="00E75257" w:rsidP="00E75257">
      <w:pPr>
        <w:ind w:left="708" w:hanging="708"/>
        <w:rPr>
          <w:b/>
          <w:bCs/>
          <w:sz w:val="22"/>
          <w:szCs w:val="22"/>
        </w:rPr>
      </w:pPr>
    </w:p>
    <w:p w14:paraId="5F77CFD9" w14:textId="67222E26" w:rsidR="00E75257" w:rsidRPr="006C5BCA" w:rsidRDefault="00E75257" w:rsidP="00E75257">
      <w:pPr>
        <w:ind w:left="708" w:hanging="708"/>
        <w:jc w:val="center"/>
        <w:rPr>
          <w:b/>
          <w:bCs/>
          <w:sz w:val="22"/>
          <w:szCs w:val="22"/>
        </w:rPr>
      </w:pPr>
      <w:r w:rsidRPr="006C5BCA">
        <w:rPr>
          <w:b/>
          <w:bCs/>
          <w:sz w:val="22"/>
          <w:szCs w:val="22"/>
        </w:rPr>
        <w:t xml:space="preserve">Año </w:t>
      </w:r>
      <w:r w:rsidR="00224391" w:rsidRPr="006C5BCA">
        <w:rPr>
          <w:b/>
          <w:bCs/>
          <w:sz w:val="22"/>
          <w:szCs w:val="22"/>
        </w:rPr>
        <w:t>202</w:t>
      </w:r>
      <w:r w:rsidR="00935C71">
        <w:rPr>
          <w:b/>
          <w:bCs/>
          <w:sz w:val="22"/>
          <w:szCs w:val="22"/>
        </w:rPr>
        <w:t>5</w:t>
      </w:r>
    </w:p>
    <w:p w14:paraId="126DA60E" w14:textId="77777777" w:rsidR="00E75257" w:rsidRDefault="00E75257" w:rsidP="00E75257">
      <w:pPr>
        <w:ind w:left="708" w:hanging="708"/>
        <w:rPr>
          <w:sz w:val="22"/>
          <w:szCs w:val="22"/>
        </w:rPr>
      </w:pPr>
      <w:r w:rsidRPr="00824BF6">
        <w:rPr>
          <w:sz w:val="22"/>
          <w:szCs w:val="22"/>
        </w:rPr>
        <w:br w:type="page"/>
      </w:r>
    </w:p>
    <w:p w14:paraId="1D0389A6" w14:textId="77777777" w:rsidR="0057672C" w:rsidRDefault="0057672C" w:rsidP="00E75257">
      <w:pPr>
        <w:ind w:left="708" w:hanging="708"/>
        <w:rPr>
          <w:sz w:val="22"/>
          <w:szCs w:val="22"/>
        </w:rPr>
      </w:pPr>
    </w:p>
    <w:p w14:paraId="29B95DDC" w14:textId="77777777" w:rsidR="0057672C" w:rsidRDefault="0057672C" w:rsidP="00E75257">
      <w:pPr>
        <w:ind w:left="708" w:hanging="708"/>
        <w:rPr>
          <w:sz w:val="22"/>
          <w:szCs w:val="22"/>
        </w:rPr>
      </w:pPr>
    </w:p>
    <w:p w14:paraId="454790B0" w14:textId="77777777" w:rsidR="0057672C" w:rsidRPr="00824BF6" w:rsidRDefault="0057672C" w:rsidP="00E75257">
      <w:pPr>
        <w:ind w:left="708" w:hanging="708"/>
        <w:rPr>
          <w:sz w:val="22"/>
          <w:szCs w:val="22"/>
        </w:rPr>
      </w:pPr>
    </w:p>
    <w:p w14:paraId="6DF8AB1C" w14:textId="77777777" w:rsidR="00E75257" w:rsidRPr="00824BF6" w:rsidRDefault="00E75257" w:rsidP="00E75257">
      <w:pPr>
        <w:pStyle w:val="Ttulo1"/>
        <w:numPr>
          <w:ilvl w:val="0"/>
          <w:numId w:val="2"/>
        </w:numPr>
        <w:rPr>
          <w:rStyle w:val="Ttulo1Car"/>
          <w:rFonts w:eastAsia="Calibri"/>
          <w:b/>
          <w:bCs/>
          <w:sz w:val="22"/>
          <w:szCs w:val="22"/>
        </w:rPr>
      </w:pPr>
      <w:r w:rsidRPr="00824BF6">
        <w:rPr>
          <w:rStyle w:val="Ttulo1Car"/>
          <w:rFonts w:eastAsia="Calibri"/>
          <w:b/>
          <w:bCs/>
          <w:sz w:val="22"/>
          <w:szCs w:val="22"/>
          <w:lang w:val="es-CO"/>
        </w:rPr>
        <w:t>CONTEXTO DEL PROYECTO</w:t>
      </w:r>
    </w:p>
    <w:p w14:paraId="0A6BE599" w14:textId="77777777" w:rsidR="00224391" w:rsidRPr="00824BF6" w:rsidRDefault="00224391" w:rsidP="00224391">
      <w:pPr>
        <w:spacing w:before="240"/>
        <w:jc w:val="both"/>
        <w:rPr>
          <w:rFonts w:eastAsia="Arial"/>
          <w:sz w:val="22"/>
          <w:szCs w:val="22"/>
        </w:rPr>
      </w:pPr>
      <w:r w:rsidRPr="00824BF6">
        <w:rPr>
          <w:rFonts w:eastAsia="Arial"/>
          <w:sz w:val="22"/>
          <w:szCs w:val="22"/>
        </w:rPr>
        <w:t xml:space="preserve">En Colombia, la experiencia en producción de biológicos se ha centrado en la producción de vacunas contra difteria, tétanos, </w:t>
      </w:r>
      <w:proofErr w:type="spellStart"/>
      <w:r w:rsidRPr="00824BF6">
        <w:rPr>
          <w:rFonts w:eastAsia="Arial"/>
          <w:sz w:val="22"/>
          <w:szCs w:val="22"/>
        </w:rPr>
        <w:t>pertusis</w:t>
      </w:r>
      <w:proofErr w:type="spellEnd"/>
      <w:r w:rsidRPr="00824BF6">
        <w:rPr>
          <w:rFonts w:eastAsia="Arial"/>
          <w:sz w:val="22"/>
          <w:szCs w:val="22"/>
        </w:rPr>
        <w:t>, fiebre amarilla, rabia humana, tuberculosis, algunos fueron exportados a otros países de América Latina y África. Sin embargo, hacia el año 2000 se dejó de producir debido a exigencias en el cumplimiento de requisitos internacionales, debilidades en la gobernanza, la baja asignación presupuestal destinada para la fabricación de biológicos, además de la ausencia de un marco global regulatorio para la innovación y desarrollo en biotecnología enfocada en las necesidades de salud y la falta coordinación entre los diferentes actores.</w:t>
      </w:r>
    </w:p>
    <w:p w14:paraId="6853DECB" w14:textId="77777777" w:rsidR="00224391" w:rsidRPr="00824BF6" w:rsidRDefault="00224391" w:rsidP="00224391">
      <w:pPr>
        <w:spacing w:before="240"/>
        <w:jc w:val="both"/>
        <w:rPr>
          <w:rFonts w:eastAsia="Arial"/>
          <w:sz w:val="22"/>
          <w:szCs w:val="22"/>
        </w:rPr>
      </w:pPr>
      <w:r w:rsidRPr="00824BF6">
        <w:rPr>
          <w:rFonts w:eastAsia="Arial"/>
          <w:sz w:val="22"/>
          <w:szCs w:val="22"/>
        </w:rPr>
        <w:t xml:space="preserve">La pandemia dejó nuevamente en evidencia la dependencia tecnológica producida en otros países en la que está sumida Colombia. Así mismo, la OMS reconoció que algunos países tienen problemas de acceso a medicamentos, vacunas y otras tecnologías de salud esenciales debido a factores como la escasa capacidad de fabricación y los precios elevados. El país en este momento tiene ausencia de recursos y stocks estratégicos de insumos de tecnología sanitaria y equipamiento para la producción de biológicos en Bogotá, lo cual genera entre otras cosas una dependencia en la fijación del costo y limitadas capacidades de negociación para la adquisición de biológicos de uso humano en Bogotá, así como la limitación en la oportunidad y cobertura para atender las necesidades de salud pública que se han venido presentando especialmente en la atención de la pandemia por COVID-19. </w:t>
      </w:r>
    </w:p>
    <w:p w14:paraId="74970522" w14:textId="77777777" w:rsidR="00224391" w:rsidRPr="00824BF6" w:rsidRDefault="00224391" w:rsidP="00224391">
      <w:pPr>
        <w:spacing w:before="240"/>
        <w:jc w:val="both"/>
        <w:rPr>
          <w:rFonts w:eastAsia="Arial"/>
          <w:sz w:val="22"/>
          <w:szCs w:val="22"/>
        </w:rPr>
      </w:pPr>
      <w:r w:rsidRPr="00824BF6">
        <w:rPr>
          <w:rFonts w:eastAsia="Arial"/>
          <w:sz w:val="22"/>
          <w:szCs w:val="22"/>
        </w:rPr>
        <w:t xml:space="preserve">Adicionalmente cabe mencionar que Colombia cuenta con limitados mecanismos y/o modelos que reconozcan la importancia de la ciencia, la tecnología y la innovación y su articulación al sector productivo, lo que impacta en la baja inversión y genera brechas en el desarrollo, crecimiento y generación de conocimiento que inciden en una mayor desigualdad científica a nivel global generando una baja calidad de vida. En este sentido, la débil vinculación del sector público y privado impactan en la creación de modelos de transferencia tecnológica para la producción de biológicos, es decir que no existen estrategias para potenciar la investigación y la articulación entre los distintos actores, como motor de desarrollo económico y social del país. </w:t>
      </w:r>
    </w:p>
    <w:p w14:paraId="60ACDF10" w14:textId="77777777" w:rsidR="00224391" w:rsidRPr="00824BF6" w:rsidRDefault="00224391" w:rsidP="00224391">
      <w:pPr>
        <w:spacing w:before="240"/>
        <w:jc w:val="both"/>
        <w:rPr>
          <w:rFonts w:eastAsia="Arial"/>
          <w:sz w:val="22"/>
          <w:szCs w:val="22"/>
        </w:rPr>
      </w:pPr>
      <w:r w:rsidRPr="00824BF6">
        <w:rPr>
          <w:rFonts w:eastAsia="Arial"/>
          <w:sz w:val="22"/>
          <w:szCs w:val="22"/>
        </w:rPr>
        <w:t xml:space="preserve">Así mismo la producción de biológicos en el Distrito, está relacionada con la ausencia en general de un marco global regulatorio para la innovación y desarrollo en biotecnología enfocado en las necesidades de salud, y así mismo con la inseguridad jurídica para la utilización de modalidades especiales de contratación estatal lo que afectan, el fomento de la Ciencia Tecnología y la Innovación que resulta tan necesaria en el país. </w:t>
      </w:r>
    </w:p>
    <w:p w14:paraId="62F65070" w14:textId="77777777" w:rsidR="00224391" w:rsidRPr="00824BF6" w:rsidRDefault="00224391" w:rsidP="00224391">
      <w:pPr>
        <w:spacing w:before="240" w:after="240"/>
        <w:jc w:val="both"/>
        <w:rPr>
          <w:rFonts w:eastAsia="Arial"/>
          <w:sz w:val="22"/>
          <w:szCs w:val="22"/>
        </w:rPr>
      </w:pPr>
      <w:r w:rsidRPr="00824BF6">
        <w:rPr>
          <w:rFonts w:eastAsia="Arial"/>
          <w:sz w:val="22"/>
          <w:szCs w:val="22"/>
        </w:rPr>
        <w:t xml:space="preserve">La pandemia del COVID-19 brindó una oportunidad económica a todas las farmacéuticas del mundo en términos de crear un producto, una vacuna, cuya demanda sería la población </w:t>
      </w:r>
      <w:r w:rsidRPr="00824BF6">
        <w:rPr>
          <w:rFonts w:eastAsia="Arial"/>
          <w:sz w:val="22"/>
          <w:szCs w:val="22"/>
        </w:rPr>
        <w:lastRenderedPageBreak/>
        <w:t>mundial. A nivel nacional las estimaciones son de alrededor de 15,89 billones9 de pesos que se han destinado en la adquisición de vacunas a distintos laboratorios para inmunizar a los colombianos. La cifra anterior supone alrededor de 1,5% del PIB nacional de 2021 y alrededor del 4% del estimado del Presupuesto General de la Nación para el año 2023. Ahora bien, el mercado internacional de oferentes de vacunas es cada vez más amplio, la difusión tecnológica permite que se tenga una mayor información de los costos de inversión para la producción de vacunas.</w:t>
      </w:r>
    </w:p>
    <w:p w14:paraId="1E78BA8C" w14:textId="77777777" w:rsidR="00224391" w:rsidRPr="00824BF6" w:rsidRDefault="00224391" w:rsidP="00224391">
      <w:pPr>
        <w:spacing w:before="240"/>
        <w:jc w:val="both"/>
        <w:rPr>
          <w:rFonts w:eastAsia="Arial"/>
          <w:sz w:val="22"/>
          <w:szCs w:val="22"/>
        </w:rPr>
      </w:pPr>
      <w:r w:rsidRPr="00824BF6">
        <w:rPr>
          <w:rFonts w:eastAsia="Arial"/>
          <w:sz w:val="22"/>
          <w:szCs w:val="22"/>
        </w:rPr>
        <w:t>Sin embargo, el equilibrio de este mercado es definido por los actores internacionales y no por Colombia al no participar en la cadena de la oferta. En este orden de ideas, bajo el teorema del bienestar, el equilibrio que se logró si bien puede ser eficiente, no garantiza que se maximice el bienestar social para los colombianos. El bienestar se queda en el lado de la oferta y en las condiciones de mercado según la disponibilidad de pago de la demanda. En este orden de ideas, el país estaría encaminado a pertenecer a un mercado cuyo equilibrio no puede realizar regulaciones que garanticen el bienestar de su población. Ahora bien, de ninguna manera se concluye que el gobierno no acceda entonces a las vacunas, por el contrario, el costo de oportunidad es el valor que esos recursos tendrían si se destinaran a inversión en infraestructura pública, educación y subsidios. Es entonces en este punto donde un Proyecto enfocado en la generación de capacidades para la producción de biológicos cobra relevancia económica y bienestar para la sociedad colombiana</w:t>
      </w:r>
    </w:p>
    <w:p w14:paraId="7F5537DD" w14:textId="77777777" w:rsidR="00E75257" w:rsidRPr="00824BF6" w:rsidRDefault="00E75257" w:rsidP="00E75257">
      <w:pPr>
        <w:jc w:val="both"/>
        <w:rPr>
          <w:color w:val="808080"/>
          <w:sz w:val="22"/>
          <w:szCs w:val="22"/>
        </w:rPr>
      </w:pPr>
    </w:p>
    <w:p w14:paraId="034D0C01" w14:textId="77777777" w:rsidR="00E75257" w:rsidRPr="00824BF6" w:rsidRDefault="00FF1896" w:rsidP="00E75257">
      <w:pPr>
        <w:pStyle w:val="Ttulo1"/>
        <w:numPr>
          <w:ilvl w:val="0"/>
          <w:numId w:val="2"/>
        </w:numPr>
        <w:rPr>
          <w:sz w:val="22"/>
          <w:szCs w:val="22"/>
          <w:lang w:val="es-CO"/>
        </w:rPr>
      </w:pPr>
      <w:r w:rsidRPr="00824BF6">
        <w:rPr>
          <w:sz w:val="22"/>
          <w:szCs w:val="22"/>
          <w:lang w:val="es-CO"/>
        </w:rPr>
        <w:t>SOPORTE LEGAL</w:t>
      </w:r>
      <w:r w:rsidR="00E75257" w:rsidRPr="00824BF6">
        <w:rPr>
          <w:sz w:val="22"/>
          <w:szCs w:val="22"/>
          <w:lang w:val="es-CO"/>
        </w:rPr>
        <w:t xml:space="preserve"> QUE RESPALD</w:t>
      </w:r>
      <w:r w:rsidR="00565163" w:rsidRPr="00824BF6">
        <w:rPr>
          <w:sz w:val="22"/>
          <w:szCs w:val="22"/>
          <w:lang w:val="es-CO"/>
        </w:rPr>
        <w:t>A</w:t>
      </w:r>
      <w:r w:rsidR="00E75257" w:rsidRPr="00824BF6">
        <w:rPr>
          <w:sz w:val="22"/>
          <w:szCs w:val="22"/>
          <w:lang w:val="es-CO"/>
        </w:rPr>
        <w:t xml:space="preserve"> </w:t>
      </w:r>
      <w:r w:rsidRPr="00824BF6">
        <w:rPr>
          <w:sz w:val="22"/>
          <w:szCs w:val="22"/>
          <w:lang w:val="es-CO"/>
        </w:rPr>
        <w:t xml:space="preserve">LA MODIFICACIÓN </w:t>
      </w:r>
    </w:p>
    <w:p w14:paraId="3DD23970" w14:textId="77777777" w:rsidR="00E75257" w:rsidRPr="00824BF6" w:rsidRDefault="00E75257" w:rsidP="00E75257">
      <w:pPr>
        <w:rPr>
          <w:sz w:val="22"/>
          <w:szCs w:val="22"/>
          <w:lang w:eastAsia="x-none"/>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tblGrid>
      <w:tr w:rsidR="00FF1896" w:rsidRPr="00824BF6" w14:paraId="4E45F797" w14:textId="77777777" w:rsidTr="004D459D">
        <w:trPr>
          <w:trHeight w:val="170"/>
        </w:trPr>
        <w:tc>
          <w:tcPr>
            <w:tcW w:w="8926" w:type="dxa"/>
            <w:gridSpan w:val="2"/>
            <w:shd w:val="clear" w:color="auto" w:fill="auto"/>
          </w:tcPr>
          <w:p w14:paraId="14B7124E" w14:textId="77777777" w:rsidR="00FF1896" w:rsidRPr="00824BF6" w:rsidRDefault="00FF1896" w:rsidP="00FC0F98">
            <w:pPr>
              <w:jc w:val="center"/>
              <w:rPr>
                <w:i/>
                <w:color w:val="808080"/>
                <w:sz w:val="22"/>
                <w:szCs w:val="22"/>
              </w:rPr>
            </w:pPr>
            <w:r w:rsidRPr="00824BF6">
              <w:rPr>
                <w:rStyle w:val="Textoennegrita"/>
                <w:sz w:val="22"/>
                <w:szCs w:val="22"/>
              </w:rPr>
              <w:t>REFERENTE NORMATIVO DISTRITAL</w:t>
            </w:r>
          </w:p>
        </w:tc>
      </w:tr>
      <w:tr w:rsidR="00FF1896" w:rsidRPr="00824BF6" w14:paraId="302DB30F" w14:textId="77777777" w:rsidTr="004D459D">
        <w:trPr>
          <w:trHeight w:val="170"/>
        </w:trPr>
        <w:tc>
          <w:tcPr>
            <w:tcW w:w="2405" w:type="dxa"/>
            <w:shd w:val="clear" w:color="auto" w:fill="auto"/>
          </w:tcPr>
          <w:p w14:paraId="6D38355B" w14:textId="579D070F" w:rsidR="00FF1896" w:rsidRPr="00824BF6" w:rsidRDefault="00D2632D" w:rsidP="00FC0F98">
            <w:pPr>
              <w:rPr>
                <w:sz w:val="22"/>
                <w:szCs w:val="22"/>
              </w:rPr>
            </w:pPr>
            <w:r w:rsidRPr="00824BF6">
              <w:rPr>
                <w:rFonts w:eastAsia="Times New Roman"/>
                <w:color w:val="000000"/>
                <w:sz w:val="22"/>
                <w:szCs w:val="22"/>
              </w:rPr>
              <w:t>DECRETO 1904 DE 2009. </w:t>
            </w:r>
          </w:p>
        </w:tc>
        <w:tc>
          <w:tcPr>
            <w:tcW w:w="6521" w:type="dxa"/>
            <w:shd w:val="clear" w:color="auto" w:fill="auto"/>
          </w:tcPr>
          <w:p w14:paraId="2063CFF5" w14:textId="17827014" w:rsidR="00FF1896" w:rsidRPr="00824BF6" w:rsidRDefault="00D2632D" w:rsidP="007E2BB6">
            <w:pPr>
              <w:jc w:val="both"/>
              <w:textAlignment w:val="baseline"/>
              <w:rPr>
                <w:sz w:val="22"/>
                <w:szCs w:val="22"/>
              </w:rPr>
            </w:pPr>
            <w:r w:rsidRPr="00824BF6">
              <w:rPr>
                <w:rFonts w:eastAsia="Times New Roman"/>
                <w:color w:val="000000"/>
                <w:sz w:val="22"/>
                <w:szCs w:val="22"/>
              </w:rPr>
              <w:t>Por medio del cual se modifica la estructura del Departamento Administrativo de Ciencia, Tecnología e Innovación -Colciencias- y se dictan otras disposiciones</w:t>
            </w:r>
            <w:r w:rsidR="007E2BB6">
              <w:rPr>
                <w:rFonts w:eastAsia="Times New Roman"/>
                <w:color w:val="000000"/>
                <w:sz w:val="22"/>
                <w:szCs w:val="22"/>
              </w:rPr>
              <w:t>.</w:t>
            </w:r>
          </w:p>
        </w:tc>
      </w:tr>
      <w:tr w:rsidR="00D2632D" w:rsidRPr="00824BF6" w14:paraId="6E81B78E" w14:textId="77777777" w:rsidTr="004D459D">
        <w:trPr>
          <w:trHeight w:val="170"/>
        </w:trPr>
        <w:tc>
          <w:tcPr>
            <w:tcW w:w="2405" w:type="dxa"/>
            <w:shd w:val="clear" w:color="auto" w:fill="auto"/>
          </w:tcPr>
          <w:p w14:paraId="24403909" w14:textId="2CA7C528" w:rsidR="00D2632D" w:rsidRPr="00824BF6" w:rsidRDefault="00D2632D" w:rsidP="00FC0F98">
            <w:pPr>
              <w:rPr>
                <w:rFonts w:eastAsia="Times New Roman"/>
                <w:color w:val="000000"/>
                <w:sz w:val="22"/>
                <w:szCs w:val="22"/>
              </w:rPr>
            </w:pPr>
            <w:r w:rsidRPr="00824BF6">
              <w:rPr>
                <w:rFonts w:eastAsia="Times New Roman"/>
                <w:color w:val="000000"/>
                <w:sz w:val="22"/>
                <w:szCs w:val="22"/>
              </w:rPr>
              <w:t>LEY 1286 DE 2009</w:t>
            </w:r>
          </w:p>
        </w:tc>
        <w:tc>
          <w:tcPr>
            <w:tcW w:w="6521" w:type="dxa"/>
            <w:shd w:val="clear" w:color="auto" w:fill="auto"/>
          </w:tcPr>
          <w:p w14:paraId="4ED8CEC8" w14:textId="02125B8D" w:rsidR="00D2632D" w:rsidRPr="00824BF6" w:rsidRDefault="00D2632D" w:rsidP="007E2BB6">
            <w:pPr>
              <w:jc w:val="both"/>
              <w:textAlignment w:val="baseline"/>
              <w:rPr>
                <w:i/>
                <w:color w:val="808080"/>
                <w:sz w:val="22"/>
                <w:szCs w:val="22"/>
              </w:rPr>
            </w:pPr>
            <w:r w:rsidRPr="00824BF6">
              <w:rPr>
                <w:rFonts w:eastAsia="Times New Roman"/>
                <w:color w:val="000000"/>
                <w:sz w:val="22"/>
                <w:szCs w:val="22"/>
              </w:rPr>
              <w:t>Por la cual se modifica la Ley 29 de 1990, se transforma a Colciencias en Departamento Administrativo, se fortalece el Sistema Nacional de Ciencia, Tecnología e Innovación en Colombia y se dictan otras disposiciones.</w:t>
            </w:r>
          </w:p>
        </w:tc>
      </w:tr>
      <w:tr w:rsidR="00D2632D" w:rsidRPr="00824BF6" w14:paraId="3BFE3DA7" w14:textId="77777777" w:rsidTr="004D459D">
        <w:trPr>
          <w:trHeight w:val="170"/>
        </w:trPr>
        <w:tc>
          <w:tcPr>
            <w:tcW w:w="2405" w:type="dxa"/>
            <w:shd w:val="clear" w:color="auto" w:fill="auto"/>
          </w:tcPr>
          <w:p w14:paraId="6CA8269F" w14:textId="6E2894EB" w:rsidR="00D2632D" w:rsidRPr="00824BF6" w:rsidRDefault="00D2632D" w:rsidP="00FC0F98">
            <w:pPr>
              <w:rPr>
                <w:rFonts w:eastAsia="Times New Roman"/>
                <w:color w:val="000000"/>
                <w:sz w:val="22"/>
                <w:szCs w:val="22"/>
              </w:rPr>
            </w:pPr>
            <w:r w:rsidRPr="00824BF6">
              <w:rPr>
                <w:rFonts w:eastAsia="Times New Roman"/>
                <w:color w:val="000000"/>
                <w:sz w:val="22"/>
                <w:szCs w:val="22"/>
              </w:rPr>
              <w:t>DECRETO 2934 DE 1994</w:t>
            </w:r>
          </w:p>
        </w:tc>
        <w:tc>
          <w:tcPr>
            <w:tcW w:w="6521" w:type="dxa"/>
            <w:shd w:val="clear" w:color="auto" w:fill="auto"/>
          </w:tcPr>
          <w:p w14:paraId="09DE9B73" w14:textId="154EF11D"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Por el cual se aprueba el Acuerdo No 0021 de 1994 que establece la estructura interna del Instituto Colombiano para desarrollo de la Ciencia y la Tecnología Francisco José de Caldas - Colciencias.</w:t>
            </w:r>
          </w:p>
        </w:tc>
      </w:tr>
      <w:tr w:rsidR="00D2632D" w:rsidRPr="00824BF6" w14:paraId="2C6A7EE9" w14:textId="77777777" w:rsidTr="004D459D">
        <w:trPr>
          <w:trHeight w:val="170"/>
        </w:trPr>
        <w:tc>
          <w:tcPr>
            <w:tcW w:w="2405" w:type="dxa"/>
            <w:shd w:val="clear" w:color="auto" w:fill="auto"/>
          </w:tcPr>
          <w:p w14:paraId="5C8354F8" w14:textId="06CEDA2F" w:rsidR="00D2632D" w:rsidRPr="00824BF6" w:rsidRDefault="00D2632D" w:rsidP="00FC0F98">
            <w:pPr>
              <w:rPr>
                <w:rFonts w:eastAsia="Times New Roman"/>
                <w:color w:val="000000"/>
                <w:sz w:val="22"/>
                <w:szCs w:val="22"/>
              </w:rPr>
            </w:pPr>
            <w:r w:rsidRPr="00824BF6">
              <w:rPr>
                <w:rFonts w:eastAsia="Times New Roman"/>
                <w:color w:val="000000"/>
                <w:sz w:val="22"/>
                <w:szCs w:val="22"/>
              </w:rPr>
              <w:t>DECRETO 2926 DE 1991</w:t>
            </w:r>
          </w:p>
        </w:tc>
        <w:tc>
          <w:tcPr>
            <w:tcW w:w="6521" w:type="dxa"/>
            <w:shd w:val="clear" w:color="auto" w:fill="auto"/>
          </w:tcPr>
          <w:p w14:paraId="355F847D" w14:textId="4BA99CD9"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 Por el cual se aprueba el Acuerdo 34 de 1991 que establece la estructura orgánica del Instituto Colombiano para el Desarrollo de la Ciencia y la Tecnología "Francisco José de Caldas, Colciencias y se determinan las funciones de sus dependencias</w:t>
            </w:r>
            <w:r w:rsidR="007E2BB6">
              <w:rPr>
                <w:rFonts w:eastAsia="Times New Roman"/>
                <w:color w:val="000000"/>
                <w:sz w:val="22"/>
                <w:szCs w:val="22"/>
              </w:rPr>
              <w:t>.</w:t>
            </w:r>
          </w:p>
        </w:tc>
      </w:tr>
      <w:tr w:rsidR="00D2632D" w:rsidRPr="00824BF6" w14:paraId="098C13D2" w14:textId="77777777" w:rsidTr="004D459D">
        <w:trPr>
          <w:trHeight w:val="170"/>
        </w:trPr>
        <w:tc>
          <w:tcPr>
            <w:tcW w:w="2405" w:type="dxa"/>
            <w:shd w:val="clear" w:color="auto" w:fill="auto"/>
          </w:tcPr>
          <w:p w14:paraId="60E51F51" w14:textId="5331FF0D" w:rsidR="00D2632D" w:rsidRPr="00824BF6" w:rsidRDefault="00D2632D" w:rsidP="00FC0F98">
            <w:pPr>
              <w:rPr>
                <w:rFonts w:eastAsia="Times New Roman"/>
                <w:color w:val="000000"/>
                <w:sz w:val="22"/>
                <w:szCs w:val="22"/>
              </w:rPr>
            </w:pPr>
            <w:r w:rsidRPr="00824BF6">
              <w:rPr>
                <w:rFonts w:eastAsia="Times New Roman"/>
                <w:color w:val="000000"/>
                <w:sz w:val="22"/>
                <w:szCs w:val="22"/>
              </w:rPr>
              <w:t>DECRETO LEY 591 de 1991</w:t>
            </w:r>
          </w:p>
        </w:tc>
        <w:tc>
          <w:tcPr>
            <w:tcW w:w="6521" w:type="dxa"/>
            <w:shd w:val="clear" w:color="auto" w:fill="auto"/>
          </w:tcPr>
          <w:p w14:paraId="50EF5B3D" w14:textId="5EAC4365" w:rsidR="00D2632D" w:rsidRPr="00824BF6" w:rsidRDefault="00D2632D" w:rsidP="00D2632D">
            <w:pPr>
              <w:jc w:val="both"/>
              <w:textAlignment w:val="baseline"/>
              <w:rPr>
                <w:rFonts w:eastAsia="Times New Roman"/>
                <w:color w:val="000000"/>
                <w:sz w:val="22"/>
                <w:szCs w:val="22"/>
              </w:rPr>
            </w:pPr>
            <w:r w:rsidRPr="00824BF6">
              <w:rPr>
                <w:rFonts w:eastAsia="Times New Roman"/>
                <w:color w:val="000000"/>
                <w:sz w:val="22"/>
                <w:szCs w:val="22"/>
              </w:rPr>
              <w:t xml:space="preserve">Por el cual se determinan las actividades científicas y tecnológicas y, a pesar de que su propósito principal era regular las modalidades específicas de contratos para estas actividades, </w:t>
            </w:r>
            <w:r w:rsidRPr="00824BF6">
              <w:rPr>
                <w:rFonts w:eastAsia="Times New Roman"/>
                <w:color w:val="000000"/>
                <w:sz w:val="22"/>
                <w:szCs w:val="22"/>
              </w:rPr>
              <w:lastRenderedPageBreak/>
              <w:t xml:space="preserve">con </w:t>
            </w:r>
            <w:r w:rsidRPr="00824BF6">
              <w:rPr>
                <w:rFonts w:eastAsia="Times New Roman"/>
                <w:bCs/>
                <w:color w:val="000000"/>
                <w:sz w:val="22"/>
                <w:szCs w:val="22"/>
              </w:rPr>
              <w:t xml:space="preserve">la </w:t>
            </w:r>
            <w:r w:rsidRPr="00824BF6">
              <w:rPr>
                <w:rFonts w:eastAsia="Times New Roman"/>
                <w:color w:val="000000"/>
                <w:sz w:val="22"/>
                <w:szCs w:val="22"/>
              </w:rPr>
              <w:t xml:space="preserve">derogatoria del artículo 7 que señalaba 10 tipos de contratos, actualmente se encuentran vigentes 3: i) contratos de financiamiento, </w:t>
            </w:r>
            <w:proofErr w:type="spellStart"/>
            <w:r w:rsidRPr="00824BF6">
              <w:rPr>
                <w:rFonts w:eastAsia="Times New Roman"/>
                <w:color w:val="000000"/>
                <w:sz w:val="22"/>
                <w:szCs w:val="22"/>
              </w:rPr>
              <w:t>ii</w:t>
            </w:r>
            <w:proofErr w:type="spellEnd"/>
            <w:r w:rsidRPr="00824BF6">
              <w:rPr>
                <w:rFonts w:eastAsia="Times New Roman"/>
                <w:color w:val="000000"/>
                <w:sz w:val="22"/>
                <w:szCs w:val="22"/>
              </w:rPr>
              <w:t xml:space="preserve">) contratos de administración de proyectos y </w:t>
            </w:r>
            <w:proofErr w:type="spellStart"/>
            <w:r w:rsidRPr="00824BF6">
              <w:rPr>
                <w:rFonts w:eastAsia="Times New Roman"/>
                <w:color w:val="000000"/>
                <w:sz w:val="22"/>
                <w:szCs w:val="22"/>
              </w:rPr>
              <w:t>iii</w:t>
            </w:r>
            <w:proofErr w:type="spellEnd"/>
            <w:r w:rsidRPr="00824BF6">
              <w:rPr>
                <w:rFonts w:eastAsia="Times New Roman"/>
                <w:color w:val="000000"/>
                <w:sz w:val="22"/>
                <w:szCs w:val="22"/>
              </w:rPr>
              <w:t>) convenios especiales de cooperación.</w:t>
            </w:r>
          </w:p>
        </w:tc>
      </w:tr>
      <w:tr w:rsidR="00D2632D" w:rsidRPr="00824BF6" w14:paraId="4B57CF88" w14:textId="77777777" w:rsidTr="004D459D">
        <w:trPr>
          <w:trHeight w:val="170"/>
        </w:trPr>
        <w:tc>
          <w:tcPr>
            <w:tcW w:w="2405" w:type="dxa"/>
            <w:shd w:val="clear" w:color="auto" w:fill="auto"/>
          </w:tcPr>
          <w:p w14:paraId="785385F8" w14:textId="1722B2F3" w:rsidR="00D2632D" w:rsidRPr="00824BF6" w:rsidRDefault="00D2632D" w:rsidP="00FC0F98">
            <w:pPr>
              <w:rPr>
                <w:rFonts w:eastAsia="Times New Roman"/>
                <w:color w:val="000000"/>
                <w:sz w:val="22"/>
                <w:szCs w:val="22"/>
              </w:rPr>
            </w:pPr>
            <w:r w:rsidRPr="00824BF6">
              <w:rPr>
                <w:rFonts w:eastAsia="Times New Roman"/>
                <w:color w:val="000000"/>
                <w:sz w:val="22"/>
                <w:szCs w:val="22"/>
              </w:rPr>
              <w:lastRenderedPageBreak/>
              <w:t>DECRETO LEY 393 de 1991</w:t>
            </w:r>
          </w:p>
        </w:tc>
        <w:tc>
          <w:tcPr>
            <w:tcW w:w="6521" w:type="dxa"/>
            <w:shd w:val="clear" w:color="auto" w:fill="auto"/>
          </w:tcPr>
          <w:p w14:paraId="374774C7" w14:textId="6BC1D7D4" w:rsidR="00D2632D" w:rsidRPr="00824BF6" w:rsidRDefault="00D2632D" w:rsidP="00D2632D">
            <w:pPr>
              <w:jc w:val="both"/>
              <w:textAlignment w:val="baseline"/>
              <w:rPr>
                <w:rFonts w:eastAsia="Times New Roman"/>
                <w:color w:val="000000"/>
                <w:sz w:val="22"/>
                <w:szCs w:val="22"/>
              </w:rPr>
            </w:pPr>
            <w:r w:rsidRPr="00824BF6">
              <w:rPr>
                <w:rFonts w:eastAsia="Times New Roman"/>
                <w:color w:val="000000"/>
                <w:sz w:val="22"/>
                <w:szCs w:val="22"/>
              </w:rPr>
              <w:t xml:space="preserve">Establece dos formas de asociación para que las entidades que ejecuten actividades científicas y tecnológicas, proyectos de investigación y creación de tecnologías: i) crear personas jurídicas civiles, comerciales y sin ánimo de lucro. </w:t>
            </w:r>
            <w:proofErr w:type="spellStart"/>
            <w:r w:rsidRPr="00824BF6">
              <w:rPr>
                <w:rFonts w:eastAsia="Times New Roman"/>
                <w:color w:val="000000"/>
                <w:sz w:val="22"/>
                <w:szCs w:val="22"/>
              </w:rPr>
              <w:t>ii</w:t>
            </w:r>
            <w:proofErr w:type="spellEnd"/>
            <w:r w:rsidRPr="00824BF6">
              <w:rPr>
                <w:rFonts w:eastAsia="Times New Roman"/>
                <w:color w:val="000000"/>
                <w:sz w:val="22"/>
                <w:szCs w:val="22"/>
              </w:rPr>
              <w:t>) celebrar convenios especiales de cooperación.</w:t>
            </w:r>
          </w:p>
        </w:tc>
      </w:tr>
      <w:tr w:rsidR="00D2632D" w:rsidRPr="00824BF6" w14:paraId="5A81E8AD" w14:textId="77777777" w:rsidTr="004D459D">
        <w:trPr>
          <w:trHeight w:val="170"/>
        </w:trPr>
        <w:tc>
          <w:tcPr>
            <w:tcW w:w="2405" w:type="dxa"/>
            <w:shd w:val="clear" w:color="auto" w:fill="auto"/>
          </w:tcPr>
          <w:p w14:paraId="3CC6125F" w14:textId="732454C2" w:rsidR="00D2632D" w:rsidRPr="00824BF6" w:rsidRDefault="00D2632D" w:rsidP="00FC0F98">
            <w:pPr>
              <w:rPr>
                <w:rFonts w:eastAsia="Times New Roman"/>
                <w:color w:val="000000"/>
                <w:sz w:val="22"/>
                <w:szCs w:val="22"/>
              </w:rPr>
            </w:pPr>
            <w:r w:rsidRPr="00824BF6">
              <w:rPr>
                <w:rFonts w:eastAsia="Times New Roman"/>
                <w:color w:val="000000"/>
                <w:sz w:val="22"/>
                <w:szCs w:val="22"/>
              </w:rPr>
              <w:t>DECRETO LEY 585 de 1991.</w:t>
            </w:r>
          </w:p>
        </w:tc>
        <w:tc>
          <w:tcPr>
            <w:tcW w:w="6521" w:type="dxa"/>
            <w:shd w:val="clear" w:color="auto" w:fill="auto"/>
          </w:tcPr>
          <w:p w14:paraId="15BBA3A7" w14:textId="44F312B0"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Creó el Sistema de Ciencia y Tecnología. COLCIENCIAS pasa a ser Instituto adscrito al DNP.</w:t>
            </w:r>
          </w:p>
        </w:tc>
      </w:tr>
      <w:tr w:rsidR="00D2632D" w:rsidRPr="00824BF6" w14:paraId="5812BC13" w14:textId="77777777" w:rsidTr="004D459D">
        <w:trPr>
          <w:trHeight w:val="170"/>
        </w:trPr>
        <w:tc>
          <w:tcPr>
            <w:tcW w:w="2405" w:type="dxa"/>
            <w:shd w:val="clear" w:color="auto" w:fill="auto"/>
          </w:tcPr>
          <w:p w14:paraId="515ACC97" w14:textId="3BF285F7" w:rsidR="00D2632D" w:rsidRPr="00824BF6" w:rsidRDefault="00D2632D" w:rsidP="00FC0F98">
            <w:pPr>
              <w:rPr>
                <w:rFonts w:eastAsia="Times New Roman"/>
                <w:color w:val="000000"/>
                <w:sz w:val="22"/>
                <w:szCs w:val="22"/>
              </w:rPr>
            </w:pPr>
            <w:r w:rsidRPr="00824BF6">
              <w:rPr>
                <w:rFonts w:eastAsia="Times New Roman"/>
                <w:color w:val="000000"/>
                <w:sz w:val="22"/>
                <w:szCs w:val="22"/>
              </w:rPr>
              <w:t>LEY 1286 de 2009.</w:t>
            </w:r>
          </w:p>
        </w:tc>
        <w:tc>
          <w:tcPr>
            <w:tcW w:w="6521" w:type="dxa"/>
            <w:shd w:val="clear" w:color="auto" w:fill="auto"/>
          </w:tcPr>
          <w:p w14:paraId="236796D9" w14:textId="3C20CC52" w:rsidR="00D2632D" w:rsidRPr="00824BF6" w:rsidRDefault="00D2632D" w:rsidP="00D2632D">
            <w:pPr>
              <w:jc w:val="both"/>
              <w:textAlignment w:val="baseline"/>
              <w:rPr>
                <w:rFonts w:eastAsia="Times New Roman"/>
                <w:color w:val="000000"/>
                <w:sz w:val="22"/>
                <w:szCs w:val="22"/>
              </w:rPr>
            </w:pPr>
            <w:r w:rsidRPr="00824BF6">
              <w:rPr>
                <w:rFonts w:eastAsia="Times New Roman"/>
                <w:color w:val="000000"/>
                <w:sz w:val="22"/>
                <w:szCs w:val="22"/>
              </w:rPr>
              <w:t>Nueva Ley de Ciencia y Tecnología, modifica la Ley 29 de 1990: (i) Transforma a Colciencias en Departamento Administrativo de Ciencia y Tecnología.  (i) Creó el Fondo Francisco José de Caldas como encargo fiduciario para administrar los recursos de inversión para CT+I. (</w:t>
            </w:r>
            <w:proofErr w:type="spellStart"/>
            <w:r w:rsidRPr="00824BF6">
              <w:rPr>
                <w:rFonts w:eastAsia="Times New Roman"/>
                <w:color w:val="000000"/>
                <w:sz w:val="22"/>
                <w:szCs w:val="22"/>
              </w:rPr>
              <w:t>iii</w:t>
            </w:r>
            <w:proofErr w:type="spellEnd"/>
            <w:r w:rsidRPr="00824BF6">
              <w:rPr>
                <w:rFonts w:eastAsia="Times New Roman"/>
                <w:color w:val="000000"/>
                <w:sz w:val="22"/>
                <w:szCs w:val="22"/>
              </w:rPr>
              <w:t xml:space="preserve">). Creó el Consejo Nacional de Beneficios Tributarios en CT+I. </w:t>
            </w:r>
            <w:proofErr w:type="spellStart"/>
            <w:r w:rsidRPr="00824BF6">
              <w:rPr>
                <w:rFonts w:eastAsia="Times New Roman"/>
                <w:color w:val="000000"/>
                <w:sz w:val="22"/>
                <w:szCs w:val="22"/>
              </w:rPr>
              <w:t>iv</w:t>
            </w:r>
            <w:proofErr w:type="spellEnd"/>
            <w:r w:rsidRPr="00824BF6">
              <w:rPr>
                <w:rFonts w:eastAsia="Times New Roman"/>
                <w:color w:val="000000"/>
                <w:sz w:val="22"/>
                <w:szCs w:val="22"/>
              </w:rPr>
              <w:t>) Estableció el Sistema Nacional de CT+I como sistema abierto</w:t>
            </w:r>
            <w:r w:rsidR="007E2BB6">
              <w:rPr>
                <w:rFonts w:eastAsia="Times New Roman"/>
                <w:color w:val="000000"/>
                <w:sz w:val="22"/>
                <w:szCs w:val="22"/>
              </w:rPr>
              <w:t>.</w:t>
            </w:r>
          </w:p>
        </w:tc>
      </w:tr>
      <w:tr w:rsidR="00D2632D" w:rsidRPr="00824BF6" w14:paraId="6DEDA873" w14:textId="77777777" w:rsidTr="004D459D">
        <w:trPr>
          <w:trHeight w:val="170"/>
        </w:trPr>
        <w:tc>
          <w:tcPr>
            <w:tcW w:w="2405" w:type="dxa"/>
            <w:shd w:val="clear" w:color="auto" w:fill="auto"/>
          </w:tcPr>
          <w:p w14:paraId="41B6D3B6" w14:textId="7024779D" w:rsidR="00D2632D" w:rsidRPr="00824BF6" w:rsidRDefault="00D2632D" w:rsidP="00FC0F98">
            <w:pPr>
              <w:rPr>
                <w:rFonts w:eastAsia="Times New Roman"/>
                <w:color w:val="000000"/>
                <w:sz w:val="22"/>
                <w:szCs w:val="22"/>
              </w:rPr>
            </w:pPr>
            <w:r w:rsidRPr="00824BF6">
              <w:rPr>
                <w:rFonts w:eastAsia="Times New Roman"/>
                <w:color w:val="000000"/>
                <w:sz w:val="22"/>
                <w:szCs w:val="22"/>
              </w:rPr>
              <w:t>CONPES 3582 de 2009.</w:t>
            </w:r>
          </w:p>
        </w:tc>
        <w:tc>
          <w:tcPr>
            <w:tcW w:w="6521" w:type="dxa"/>
            <w:shd w:val="clear" w:color="auto" w:fill="auto"/>
          </w:tcPr>
          <w:p w14:paraId="1DE4CF33" w14:textId="514B2C39"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Busca: (i) Fomentar la innovación en los sistemas productivos. (</w:t>
            </w:r>
            <w:proofErr w:type="spellStart"/>
            <w:r w:rsidRPr="00824BF6">
              <w:rPr>
                <w:rFonts w:eastAsia="Times New Roman"/>
                <w:color w:val="000000"/>
                <w:sz w:val="22"/>
                <w:szCs w:val="22"/>
              </w:rPr>
              <w:t>ii</w:t>
            </w:r>
            <w:proofErr w:type="spellEnd"/>
            <w:r w:rsidRPr="00824BF6">
              <w:rPr>
                <w:rFonts w:eastAsia="Times New Roman"/>
                <w:color w:val="000000"/>
                <w:sz w:val="22"/>
                <w:szCs w:val="22"/>
              </w:rPr>
              <w:t>) Consolidar la institucionalidad del Sistema Nacional de CT+I. (</w:t>
            </w:r>
            <w:proofErr w:type="spellStart"/>
            <w:r w:rsidRPr="00824BF6">
              <w:rPr>
                <w:rFonts w:eastAsia="Times New Roman"/>
                <w:color w:val="000000"/>
                <w:sz w:val="22"/>
                <w:szCs w:val="22"/>
              </w:rPr>
              <w:t>iii</w:t>
            </w:r>
            <w:proofErr w:type="spellEnd"/>
            <w:r w:rsidRPr="00824BF6">
              <w:rPr>
                <w:rFonts w:eastAsia="Times New Roman"/>
                <w:color w:val="000000"/>
                <w:sz w:val="22"/>
                <w:szCs w:val="22"/>
              </w:rPr>
              <w:t>) Fortalecer la formación del recurso humano para la investigación y la innovación. (</w:t>
            </w:r>
            <w:proofErr w:type="spellStart"/>
            <w:r w:rsidRPr="00824BF6">
              <w:rPr>
                <w:rFonts w:eastAsia="Times New Roman"/>
                <w:color w:val="000000"/>
                <w:sz w:val="22"/>
                <w:szCs w:val="22"/>
              </w:rPr>
              <w:t>iv</w:t>
            </w:r>
            <w:proofErr w:type="spellEnd"/>
            <w:r w:rsidRPr="00824BF6">
              <w:rPr>
                <w:rFonts w:eastAsia="Times New Roman"/>
                <w:color w:val="000000"/>
                <w:sz w:val="22"/>
                <w:szCs w:val="22"/>
              </w:rPr>
              <w:t>) Promover la apropiación social del conocimiento. 5. Focalizar la acción pública en áreas estratégicas. (vi) Desarrollar y fortalecer capacidades.</w:t>
            </w:r>
          </w:p>
        </w:tc>
      </w:tr>
      <w:tr w:rsidR="00D2632D" w:rsidRPr="00824BF6" w14:paraId="7BA41FC9" w14:textId="77777777" w:rsidTr="004D459D">
        <w:trPr>
          <w:trHeight w:val="170"/>
        </w:trPr>
        <w:tc>
          <w:tcPr>
            <w:tcW w:w="2405" w:type="dxa"/>
            <w:shd w:val="clear" w:color="auto" w:fill="auto"/>
          </w:tcPr>
          <w:p w14:paraId="437AB59D" w14:textId="3F8CC115" w:rsidR="00D2632D" w:rsidRPr="00824BF6" w:rsidRDefault="00D2632D" w:rsidP="00FC0F98">
            <w:pPr>
              <w:rPr>
                <w:rFonts w:eastAsia="Times New Roman"/>
                <w:color w:val="000000"/>
                <w:sz w:val="22"/>
                <w:szCs w:val="22"/>
              </w:rPr>
            </w:pPr>
            <w:r w:rsidRPr="00824BF6">
              <w:rPr>
                <w:rFonts w:eastAsia="Times New Roman"/>
                <w:color w:val="000000"/>
                <w:sz w:val="22"/>
                <w:szCs w:val="22"/>
              </w:rPr>
              <w:t>DECRETO 547 de 2016.</w:t>
            </w:r>
          </w:p>
        </w:tc>
        <w:tc>
          <w:tcPr>
            <w:tcW w:w="6521" w:type="dxa"/>
            <w:shd w:val="clear" w:color="auto" w:fill="auto"/>
          </w:tcPr>
          <w:p w14:paraId="55962206" w14:textId="4BEC56A8"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Modificación de la Gobernanza de la CT+I en el Distrito Capital. El Artículo 4 de este Decreto suprime la Comisión Distrital de Ciencia Tecnología e Innovación, ya que por disposición del artículo 186 de la Ley 1753 de 2015, se integra a la Comisión Regional de Competitividad. </w:t>
            </w:r>
          </w:p>
        </w:tc>
      </w:tr>
      <w:tr w:rsidR="00D2632D" w:rsidRPr="00824BF6" w14:paraId="4FD52EA5" w14:textId="77777777" w:rsidTr="004D459D">
        <w:trPr>
          <w:trHeight w:val="170"/>
        </w:trPr>
        <w:tc>
          <w:tcPr>
            <w:tcW w:w="2405" w:type="dxa"/>
            <w:shd w:val="clear" w:color="auto" w:fill="auto"/>
          </w:tcPr>
          <w:p w14:paraId="4E0B20CD" w14:textId="63B8F7BB" w:rsidR="00D2632D" w:rsidRPr="00824BF6" w:rsidRDefault="00D2632D" w:rsidP="00FC0F98">
            <w:pPr>
              <w:rPr>
                <w:rFonts w:eastAsia="Times New Roman"/>
                <w:color w:val="000000"/>
                <w:sz w:val="22"/>
                <w:szCs w:val="22"/>
              </w:rPr>
            </w:pPr>
            <w:r w:rsidRPr="00824BF6">
              <w:rPr>
                <w:rFonts w:eastAsia="Times New Roman"/>
                <w:color w:val="000000"/>
                <w:sz w:val="22"/>
                <w:szCs w:val="22"/>
              </w:rPr>
              <w:t>DECRETO 293 de 2017.</w:t>
            </w:r>
          </w:p>
        </w:tc>
        <w:tc>
          <w:tcPr>
            <w:tcW w:w="6521" w:type="dxa"/>
            <w:shd w:val="clear" w:color="auto" w:fill="auto"/>
          </w:tcPr>
          <w:p w14:paraId="1BF63829" w14:textId="5DD91D3A"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“Por el cual se reglamenta el artículo 7 de la Ley 1753 de 2015 en lo relacionado con los Planes y Acuerdos Estratégicos Departamentales (PAED) en Ciencia, Tecnología e Innovación y se dictan otras disposiciones.”</w:t>
            </w:r>
            <w:r w:rsidR="007E2BB6">
              <w:rPr>
                <w:rFonts w:eastAsia="Times New Roman"/>
                <w:color w:val="000000"/>
                <w:sz w:val="22"/>
                <w:szCs w:val="22"/>
              </w:rPr>
              <w:t>.</w:t>
            </w:r>
          </w:p>
        </w:tc>
      </w:tr>
      <w:tr w:rsidR="00D2632D" w:rsidRPr="00824BF6" w14:paraId="31276BCB" w14:textId="77777777" w:rsidTr="004D459D">
        <w:trPr>
          <w:trHeight w:val="170"/>
        </w:trPr>
        <w:tc>
          <w:tcPr>
            <w:tcW w:w="2405" w:type="dxa"/>
            <w:shd w:val="clear" w:color="auto" w:fill="auto"/>
          </w:tcPr>
          <w:p w14:paraId="1E6D3593" w14:textId="217E3048" w:rsidR="00D2632D" w:rsidRPr="00824BF6" w:rsidRDefault="00D2632D" w:rsidP="00D2632D">
            <w:pPr>
              <w:ind w:left="708" w:hanging="708"/>
              <w:rPr>
                <w:rFonts w:eastAsia="Times New Roman"/>
                <w:color w:val="000000"/>
                <w:sz w:val="22"/>
                <w:szCs w:val="22"/>
              </w:rPr>
            </w:pPr>
            <w:r w:rsidRPr="00824BF6">
              <w:rPr>
                <w:rFonts w:eastAsia="Times New Roman"/>
                <w:color w:val="000000"/>
                <w:sz w:val="22"/>
                <w:szCs w:val="22"/>
              </w:rPr>
              <w:t>LEY 838 de 2017.</w:t>
            </w:r>
          </w:p>
        </w:tc>
        <w:tc>
          <w:tcPr>
            <w:tcW w:w="6521" w:type="dxa"/>
            <w:shd w:val="clear" w:color="auto" w:fill="auto"/>
          </w:tcPr>
          <w:p w14:paraId="5EAD15BA" w14:textId="6D432391"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Sobre de Empresas de Base Tecnológica (Spin-</w:t>
            </w:r>
            <w:proofErr w:type="spellStart"/>
            <w:r w:rsidRPr="00824BF6">
              <w:rPr>
                <w:rFonts w:eastAsia="Times New Roman"/>
                <w:color w:val="000000"/>
                <w:sz w:val="22"/>
                <w:szCs w:val="22"/>
              </w:rPr>
              <w:t>offs</w:t>
            </w:r>
            <w:proofErr w:type="spellEnd"/>
            <w:r w:rsidRPr="00824BF6">
              <w:rPr>
                <w:rFonts w:eastAsia="Times New Roman"/>
                <w:color w:val="000000"/>
                <w:sz w:val="22"/>
                <w:szCs w:val="22"/>
              </w:rPr>
              <w:t xml:space="preserve">): Por medio de esta Ley se dictan normas de fomento a la CT+I mediante la creación de empresas de base tecnológica </w:t>
            </w:r>
            <w:proofErr w:type="spellStart"/>
            <w:r w:rsidRPr="00824BF6">
              <w:rPr>
                <w:rFonts w:eastAsia="Times New Roman"/>
                <w:color w:val="000000"/>
                <w:sz w:val="22"/>
                <w:szCs w:val="22"/>
              </w:rPr>
              <w:t>Spinoffs</w:t>
            </w:r>
            <w:proofErr w:type="spellEnd"/>
            <w:r w:rsidRPr="00824BF6">
              <w:rPr>
                <w:rFonts w:eastAsia="Times New Roman"/>
                <w:color w:val="000000"/>
                <w:sz w:val="22"/>
                <w:szCs w:val="22"/>
              </w:rPr>
              <w:t xml:space="preserve"> para aprovechar el conocimiento generado en las universidades para lograr aumentar la competitividad del país a través de productos y servicios de alto valor agregado.</w:t>
            </w:r>
          </w:p>
        </w:tc>
      </w:tr>
      <w:tr w:rsidR="00D2632D" w:rsidRPr="00824BF6" w14:paraId="700CC875" w14:textId="77777777" w:rsidTr="004D459D">
        <w:trPr>
          <w:trHeight w:val="170"/>
        </w:trPr>
        <w:tc>
          <w:tcPr>
            <w:tcW w:w="2405" w:type="dxa"/>
            <w:shd w:val="clear" w:color="auto" w:fill="auto"/>
          </w:tcPr>
          <w:p w14:paraId="66CD6E33" w14:textId="4BA90034" w:rsidR="00D2632D" w:rsidRPr="00824BF6" w:rsidRDefault="00D2632D" w:rsidP="00D2632D">
            <w:pPr>
              <w:ind w:left="708" w:hanging="708"/>
              <w:rPr>
                <w:rFonts w:eastAsia="Times New Roman"/>
                <w:color w:val="000000"/>
                <w:sz w:val="22"/>
                <w:szCs w:val="22"/>
              </w:rPr>
            </w:pPr>
            <w:r w:rsidRPr="00824BF6">
              <w:rPr>
                <w:rFonts w:eastAsia="Times New Roman"/>
                <w:color w:val="000000"/>
                <w:sz w:val="22"/>
                <w:szCs w:val="22"/>
              </w:rPr>
              <w:t>CONPES 04 de 2019.</w:t>
            </w:r>
          </w:p>
        </w:tc>
        <w:tc>
          <w:tcPr>
            <w:tcW w:w="6521" w:type="dxa"/>
            <w:shd w:val="clear" w:color="auto" w:fill="auto"/>
          </w:tcPr>
          <w:p w14:paraId="72097650" w14:textId="43B8684A"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 xml:space="preserve"> “Política pública de ciencia, tecnología e innovación 2019-2038” que tiene como objetivos: (i) Consolidar a la Educación y la Investigación con enfoque al desarrollo de capacidades endógenas en Ciencia, Tecnología e Innovación, (</w:t>
            </w:r>
            <w:proofErr w:type="spellStart"/>
            <w:r w:rsidRPr="00824BF6">
              <w:rPr>
                <w:rFonts w:eastAsia="Times New Roman"/>
                <w:color w:val="000000"/>
                <w:sz w:val="22"/>
                <w:szCs w:val="22"/>
              </w:rPr>
              <w:t>ii</w:t>
            </w:r>
            <w:proofErr w:type="spellEnd"/>
            <w:r w:rsidRPr="00824BF6">
              <w:rPr>
                <w:rFonts w:eastAsia="Times New Roman"/>
                <w:color w:val="000000"/>
                <w:sz w:val="22"/>
                <w:szCs w:val="22"/>
              </w:rPr>
              <w:t xml:space="preserve">) Potenciar la </w:t>
            </w:r>
            <w:r w:rsidRPr="00824BF6">
              <w:rPr>
                <w:rFonts w:eastAsia="Times New Roman"/>
                <w:color w:val="000000"/>
                <w:sz w:val="22"/>
                <w:szCs w:val="22"/>
              </w:rPr>
              <w:lastRenderedPageBreak/>
              <w:t>innovación empresarial y la competitividad de las cadenas de producción y (</w:t>
            </w:r>
            <w:proofErr w:type="spellStart"/>
            <w:r w:rsidRPr="00824BF6">
              <w:rPr>
                <w:rFonts w:eastAsia="Times New Roman"/>
                <w:color w:val="000000"/>
                <w:sz w:val="22"/>
                <w:szCs w:val="22"/>
              </w:rPr>
              <w:t>iii</w:t>
            </w:r>
            <w:proofErr w:type="spellEnd"/>
            <w:r w:rsidRPr="00824BF6">
              <w:rPr>
                <w:rFonts w:eastAsia="Times New Roman"/>
                <w:color w:val="000000"/>
                <w:sz w:val="22"/>
                <w:szCs w:val="22"/>
              </w:rPr>
              <w:t>) Generar procesos de Innovación Social y Pública que aporten a lograr un Desarrollo Humano Sostenible.</w:t>
            </w:r>
          </w:p>
        </w:tc>
      </w:tr>
      <w:tr w:rsidR="00D2632D" w:rsidRPr="00824BF6" w14:paraId="5569B28B" w14:textId="77777777" w:rsidTr="004D459D">
        <w:trPr>
          <w:trHeight w:val="170"/>
        </w:trPr>
        <w:tc>
          <w:tcPr>
            <w:tcW w:w="2405" w:type="dxa"/>
            <w:shd w:val="clear" w:color="auto" w:fill="auto"/>
          </w:tcPr>
          <w:p w14:paraId="3B4DD0D6" w14:textId="7EF2AD76" w:rsidR="00D2632D" w:rsidRPr="00824BF6" w:rsidRDefault="00D2632D" w:rsidP="00D2632D">
            <w:pPr>
              <w:ind w:left="708" w:hanging="708"/>
              <w:rPr>
                <w:rFonts w:eastAsia="Times New Roman"/>
                <w:color w:val="000000"/>
                <w:sz w:val="22"/>
                <w:szCs w:val="22"/>
              </w:rPr>
            </w:pPr>
            <w:r w:rsidRPr="00824BF6">
              <w:rPr>
                <w:rFonts w:eastAsia="Times New Roman"/>
                <w:color w:val="000000"/>
                <w:sz w:val="22"/>
                <w:szCs w:val="22"/>
              </w:rPr>
              <w:lastRenderedPageBreak/>
              <w:t>ACUERDO 761 de 2020.</w:t>
            </w:r>
          </w:p>
        </w:tc>
        <w:tc>
          <w:tcPr>
            <w:tcW w:w="6521" w:type="dxa"/>
            <w:shd w:val="clear" w:color="auto" w:fill="auto"/>
          </w:tcPr>
          <w:p w14:paraId="33516A59" w14:textId="1485A70B"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Por el cual se adoptó el Plan de Desarrollo Distrital 2020-2024 Establece dentro de las metas trazadoras, la reactivación y adaptación económica a través de la innovación y la creatividad en la Bogotá- Región. Priorizó en sus proyectos estratégicos la creación de una Agencia de Educación Superior, Ciencia y Tecnología de Bogotá, así como la suscripción de convenios de cooperación con dicha agencia para la promoción de las actividades de CT+I.</w:t>
            </w:r>
          </w:p>
        </w:tc>
      </w:tr>
      <w:tr w:rsidR="00D2632D" w:rsidRPr="00824BF6" w14:paraId="7005827B" w14:textId="77777777" w:rsidTr="004D459D">
        <w:trPr>
          <w:trHeight w:val="170"/>
        </w:trPr>
        <w:tc>
          <w:tcPr>
            <w:tcW w:w="2405" w:type="dxa"/>
            <w:shd w:val="clear" w:color="auto" w:fill="auto"/>
          </w:tcPr>
          <w:p w14:paraId="12E89F81" w14:textId="4528B074" w:rsidR="00D2632D" w:rsidRPr="00824BF6" w:rsidRDefault="00D2632D" w:rsidP="00D2632D">
            <w:pPr>
              <w:ind w:left="708" w:hanging="708"/>
              <w:rPr>
                <w:rFonts w:eastAsia="Times New Roman"/>
                <w:color w:val="000000"/>
                <w:sz w:val="22"/>
                <w:szCs w:val="22"/>
              </w:rPr>
            </w:pPr>
            <w:r w:rsidRPr="00824BF6">
              <w:rPr>
                <w:rFonts w:eastAsia="Times New Roman"/>
                <w:color w:val="000000"/>
                <w:sz w:val="22"/>
                <w:szCs w:val="22"/>
              </w:rPr>
              <w:t>DECRETO 273 de 2020.</w:t>
            </w:r>
          </w:p>
        </w:tc>
        <w:tc>
          <w:tcPr>
            <w:tcW w:w="6521" w:type="dxa"/>
            <w:shd w:val="clear" w:color="auto" w:fill="auto"/>
          </w:tcPr>
          <w:p w14:paraId="013BD921" w14:textId="155B41CB" w:rsidR="00D2632D" w:rsidRPr="00824BF6" w:rsidRDefault="00D2632D" w:rsidP="00D2632D">
            <w:pPr>
              <w:jc w:val="both"/>
              <w:textAlignment w:val="baseline"/>
              <w:rPr>
                <w:rFonts w:eastAsia="Times New Roman"/>
                <w:color w:val="000000"/>
                <w:sz w:val="22"/>
                <w:szCs w:val="22"/>
              </w:rPr>
            </w:pPr>
            <w:r w:rsidRPr="00824BF6">
              <w:rPr>
                <w:rFonts w:eastAsia="Times New Roman"/>
                <w:color w:val="000000"/>
                <w:sz w:val="22"/>
                <w:szCs w:val="22"/>
              </w:rPr>
              <w:t>Por el que se crea la Agencia Distrital para la Educación Superior, la Ciencia y la Tecnología “ATENEA” para, financiar la oferta educativa del nivel superior y la así mismo la ciencia y la tecnología, de los proyectos de investigación científica de grupos de investigación reconocidos por el Ministerio de Ciencia, Tecnología e Innovación en el Distrito capital.</w:t>
            </w:r>
          </w:p>
        </w:tc>
      </w:tr>
      <w:tr w:rsidR="00D2632D" w:rsidRPr="00824BF6" w14:paraId="4CFAD00D" w14:textId="77777777" w:rsidTr="004D459D">
        <w:trPr>
          <w:trHeight w:val="170"/>
        </w:trPr>
        <w:tc>
          <w:tcPr>
            <w:tcW w:w="2405" w:type="dxa"/>
            <w:shd w:val="clear" w:color="auto" w:fill="auto"/>
          </w:tcPr>
          <w:p w14:paraId="29DB830E" w14:textId="5042BE6B" w:rsidR="00D2632D" w:rsidRPr="00824BF6" w:rsidRDefault="00D2632D" w:rsidP="00D2632D">
            <w:pPr>
              <w:ind w:left="708" w:hanging="708"/>
              <w:rPr>
                <w:rFonts w:eastAsia="Times New Roman"/>
                <w:color w:val="000000"/>
                <w:sz w:val="22"/>
                <w:szCs w:val="22"/>
              </w:rPr>
            </w:pPr>
            <w:r w:rsidRPr="00824BF6">
              <w:rPr>
                <w:rFonts w:eastAsia="Times New Roman"/>
                <w:color w:val="000000"/>
                <w:sz w:val="22"/>
                <w:szCs w:val="22"/>
              </w:rPr>
              <w:t>ACUERDO 810 de 2021.</w:t>
            </w:r>
          </w:p>
        </w:tc>
        <w:tc>
          <w:tcPr>
            <w:tcW w:w="6521" w:type="dxa"/>
            <w:shd w:val="clear" w:color="auto" w:fill="auto"/>
          </w:tcPr>
          <w:p w14:paraId="653F6B0D" w14:textId="66660166" w:rsidR="00D2632D" w:rsidRPr="00824BF6" w:rsidRDefault="00D2632D" w:rsidP="007E2BB6">
            <w:pPr>
              <w:jc w:val="both"/>
              <w:textAlignment w:val="baseline"/>
              <w:rPr>
                <w:rFonts w:eastAsia="Times New Roman"/>
                <w:color w:val="000000"/>
                <w:sz w:val="22"/>
                <w:szCs w:val="22"/>
              </w:rPr>
            </w:pPr>
            <w:r w:rsidRPr="00824BF6">
              <w:rPr>
                <w:rFonts w:eastAsia="Times New Roman"/>
                <w:color w:val="000000"/>
                <w:sz w:val="22"/>
                <w:szCs w:val="22"/>
              </w:rPr>
              <w:t>Crea el Fondo Cuenta de la Agencia Distrital para la Educación Superior, la Ciencia y la Tecnología “ATENEA” como una cuenta especial sin personería jurídica para el manejo presupuestal, contable y de tesorería de los recursos financieros.</w:t>
            </w:r>
          </w:p>
        </w:tc>
      </w:tr>
      <w:tr w:rsidR="00D2632D" w:rsidRPr="00824BF6" w14:paraId="2E676D99" w14:textId="77777777" w:rsidTr="004D459D">
        <w:trPr>
          <w:trHeight w:val="170"/>
        </w:trPr>
        <w:tc>
          <w:tcPr>
            <w:tcW w:w="2405" w:type="dxa"/>
            <w:shd w:val="clear" w:color="auto" w:fill="auto"/>
          </w:tcPr>
          <w:p w14:paraId="3519D86C" w14:textId="3B12FF87" w:rsidR="00D2632D" w:rsidRPr="00824BF6" w:rsidRDefault="007D1D8A" w:rsidP="007D1D8A">
            <w:pPr>
              <w:rPr>
                <w:rFonts w:eastAsia="Times New Roman"/>
                <w:color w:val="000000"/>
                <w:sz w:val="22"/>
                <w:szCs w:val="22"/>
              </w:rPr>
            </w:pPr>
            <w:r w:rsidRPr="00824BF6">
              <w:rPr>
                <w:rFonts w:eastAsia="Times New Roman"/>
                <w:color w:val="000000"/>
                <w:sz w:val="22"/>
                <w:szCs w:val="22"/>
              </w:rPr>
              <w:t>PLAN DISTRITAL DE CIENCIA TECNOLOGÍA E INNOVACION PARA LA SALUD  2012-2022“</w:t>
            </w:r>
          </w:p>
        </w:tc>
        <w:tc>
          <w:tcPr>
            <w:tcW w:w="6521" w:type="dxa"/>
            <w:shd w:val="clear" w:color="auto" w:fill="auto"/>
          </w:tcPr>
          <w:p w14:paraId="3B906B0C" w14:textId="72508CEE" w:rsidR="00D2632D" w:rsidRPr="00824BF6" w:rsidRDefault="007D1D8A" w:rsidP="007E2BB6">
            <w:pPr>
              <w:jc w:val="both"/>
              <w:textAlignment w:val="baseline"/>
              <w:rPr>
                <w:rFonts w:eastAsia="Times New Roman"/>
                <w:color w:val="000000"/>
                <w:sz w:val="22"/>
                <w:szCs w:val="22"/>
              </w:rPr>
            </w:pPr>
            <w:r w:rsidRPr="00824BF6">
              <w:rPr>
                <w:rFonts w:eastAsia="Times New Roman"/>
                <w:color w:val="000000"/>
                <w:sz w:val="22"/>
                <w:szCs w:val="22"/>
              </w:rPr>
              <w:t>Conocer, entender y responder a los retos locales y globales para la equidad en salud”. Busca impulsar la generación, intercambio y uso del conocimiento, del desarrollo tecnológico y de la innovación, para la equidad en salud en Bogotá, mediante el fortalecimiento de la capacidad, la movilización y la interacción de las comunidades, las organizaciones sociales, la academia, los centros de investigación, las empresas y el gobierno.</w:t>
            </w:r>
          </w:p>
        </w:tc>
      </w:tr>
      <w:tr w:rsidR="001B20CC" w:rsidRPr="00824BF6" w14:paraId="3434515E" w14:textId="77777777" w:rsidTr="004D459D">
        <w:trPr>
          <w:trHeight w:val="170"/>
        </w:trPr>
        <w:tc>
          <w:tcPr>
            <w:tcW w:w="2405" w:type="dxa"/>
            <w:shd w:val="clear" w:color="auto" w:fill="auto"/>
          </w:tcPr>
          <w:p w14:paraId="45A59AF6" w14:textId="21A5D631" w:rsidR="001B20CC" w:rsidRPr="00824BF6" w:rsidRDefault="001B20CC" w:rsidP="001B20CC">
            <w:pPr>
              <w:ind w:left="708" w:hanging="708"/>
              <w:rPr>
                <w:rFonts w:eastAsia="Times New Roman"/>
                <w:color w:val="000000"/>
                <w:sz w:val="22"/>
                <w:szCs w:val="22"/>
              </w:rPr>
            </w:pPr>
            <w:r w:rsidRPr="00824BF6">
              <w:rPr>
                <w:rFonts w:eastAsia="Times New Roman"/>
                <w:color w:val="000000"/>
                <w:sz w:val="22"/>
                <w:szCs w:val="22"/>
              </w:rPr>
              <w:t xml:space="preserve">ACUERDO 761 </w:t>
            </w:r>
            <w:r w:rsidR="009D1DF4">
              <w:rPr>
                <w:rFonts w:eastAsia="Times New Roman"/>
                <w:color w:val="000000"/>
                <w:sz w:val="22"/>
                <w:szCs w:val="22"/>
              </w:rPr>
              <w:t>DE</w:t>
            </w:r>
            <w:r w:rsidRPr="00824BF6">
              <w:rPr>
                <w:rFonts w:eastAsia="Times New Roman"/>
                <w:color w:val="000000"/>
                <w:sz w:val="22"/>
                <w:szCs w:val="22"/>
              </w:rPr>
              <w:t xml:space="preserve"> 2020</w:t>
            </w:r>
          </w:p>
        </w:tc>
        <w:tc>
          <w:tcPr>
            <w:tcW w:w="6521" w:type="dxa"/>
            <w:shd w:val="clear" w:color="auto" w:fill="auto"/>
          </w:tcPr>
          <w:p w14:paraId="7D36A3BC" w14:textId="173B6F5D" w:rsidR="001B20CC" w:rsidRPr="00824BF6" w:rsidRDefault="001B20CC" w:rsidP="007E2BB6">
            <w:pPr>
              <w:jc w:val="both"/>
              <w:textAlignment w:val="baseline"/>
              <w:rPr>
                <w:rFonts w:eastAsia="Times New Roman"/>
                <w:color w:val="000000"/>
                <w:sz w:val="22"/>
                <w:szCs w:val="22"/>
              </w:rPr>
            </w:pPr>
            <w:r w:rsidRPr="00824BF6">
              <w:rPr>
                <w:rFonts w:eastAsia="Times New Roman"/>
                <w:color w:val="000000"/>
                <w:sz w:val="22"/>
                <w:szCs w:val="22"/>
              </w:rPr>
              <w:t>Mediante el cual el Concejo de Bogotá adoptó el Plan de Desarrollo Distrital  2020-2024 “Un Nuevo Contrato Social y Ambiental para la Bogotá del Siglo XXI”   y para la atención a la emergencia sanitaria este plan estableció un capítulo único sobre “Estrategias para el manejo de los impactos social y económico del virus COVID –19"  con el fin de reorientar las prioridades y metas del Distrito, con el propósito de atender los diferentes desafíos que plantea la pandemia como la necesidad de fortalecer las capacidades locales de producción, para reducir la dependencia de los mercados mundiales y garantizar el acceso equitativo y oportuno a medicamentos y otras tecnologías de calidad, seguras, eficaces y asequibles para combatir la COVID-19.</w:t>
            </w:r>
          </w:p>
        </w:tc>
      </w:tr>
      <w:tr w:rsidR="00511A0C" w:rsidRPr="00824BF6" w14:paraId="610429FF" w14:textId="77777777" w:rsidTr="004D459D">
        <w:trPr>
          <w:trHeight w:val="170"/>
        </w:trPr>
        <w:tc>
          <w:tcPr>
            <w:tcW w:w="2405" w:type="dxa"/>
            <w:shd w:val="clear" w:color="auto" w:fill="auto"/>
          </w:tcPr>
          <w:p w14:paraId="00C67E3E" w14:textId="47A7883A" w:rsidR="00511A0C" w:rsidRPr="00824BF6" w:rsidRDefault="00511A0C" w:rsidP="00511A0C">
            <w:pPr>
              <w:ind w:left="708" w:hanging="708"/>
              <w:rPr>
                <w:rFonts w:eastAsia="Times New Roman"/>
                <w:color w:val="000000"/>
                <w:sz w:val="22"/>
                <w:szCs w:val="22"/>
              </w:rPr>
            </w:pPr>
            <w:r>
              <w:rPr>
                <w:rFonts w:eastAsia="Times New Roman"/>
                <w:color w:val="000000"/>
                <w:sz w:val="22"/>
                <w:szCs w:val="22"/>
              </w:rPr>
              <w:t xml:space="preserve">ACUERDO </w:t>
            </w:r>
            <w:r w:rsidR="009D1DF4">
              <w:rPr>
                <w:rFonts w:eastAsia="Times New Roman"/>
                <w:color w:val="000000"/>
                <w:sz w:val="22"/>
                <w:szCs w:val="22"/>
              </w:rPr>
              <w:t xml:space="preserve">927 DE </w:t>
            </w:r>
            <w:r>
              <w:rPr>
                <w:rFonts w:eastAsia="Times New Roman"/>
                <w:color w:val="000000"/>
                <w:sz w:val="22"/>
                <w:szCs w:val="22"/>
              </w:rPr>
              <w:t>2024</w:t>
            </w:r>
          </w:p>
        </w:tc>
        <w:tc>
          <w:tcPr>
            <w:tcW w:w="6521" w:type="dxa"/>
            <w:shd w:val="clear" w:color="auto" w:fill="auto"/>
          </w:tcPr>
          <w:p w14:paraId="59E5D408" w14:textId="178C48ED" w:rsidR="00511A0C" w:rsidRPr="00824BF6" w:rsidRDefault="00511A0C" w:rsidP="00511A0C">
            <w:pPr>
              <w:jc w:val="both"/>
              <w:textAlignment w:val="baseline"/>
              <w:rPr>
                <w:rFonts w:eastAsia="Times New Roman"/>
                <w:color w:val="000000"/>
                <w:sz w:val="22"/>
                <w:szCs w:val="22"/>
              </w:rPr>
            </w:pPr>
            <w:r>
              <w:rPr>
                <w:rFonts w:ascii="ArialMT" w:eastAsiaTheme="minorHAnsi" w:hAnsi="ArialMT" w:cs="ArialMT"/>
                <w:sz w:val="22"/>
                <w:szCs w:val="22"/>
                <w:lang w:eastAsia="en-US"/>
              </w:rPr>
              <w:t xml:space="preserve">Se adopta el Plan Distrital de Desarrollo Económico, Social, Ambiental y de Obras Públicas </w:t>
            </w:r>
            <w:r w:rsidR="009D1DF4">
              <w:rPr>
                <w:rFonts w:ascii="ArialMT" w:eastAsiaTheme="minorHAnsi" w:hAnsi="ArialMT" w:cs="ArialMT"/>
                <w:sz w:val="22"/>
                <w:szCs w:val="22"/>
                <w:lang w:eastAsia="en-US"/>
              </w:rPr>
              <w:t>del distrito capital</w:t>
            </w:r>
            <w:r>
              <w:rPr>
                <w:rFonts w:ascii="ArialMT" w:eastAsiaTheme="minorHAnsi" w:hAnsi="ArialMT" w:cs="ArialMT"/>
                <w:sz w:val="22"/>
                <w:szCs w:val="22"/>
                <w:lang w:eastAsia="en-US"/>
              </w:rPr>
              <w:t xml:space="preserve"> 2024-202</w:t>
            </w:r>
            <w:r w:rsidR="00F05548">
              <w:rPr>
                <w:rFonts w:ascii="ArialMT" w:eastAsiaTheme="minorHAnsi" w:hAnsi="ArialMT" w:cs="ArialMT"/>
                <w:sz w:val="22"/>
                <w:szCs w:val="22"/>
                <w:lang w:eastAsia="en-US"/>
              </w:rPr>
              <w:t>7</w:t>
            </w:r>
            <w:r>
              <w:rPr>
                <w:rFonts w:ascii="ArialMT" w:eastAsiaTheme="minorHAnsi" w:hAnsi="ArialMT" w:cs="ArialMT"/>
                <w:sz w:val="22"/>
                <w:szCs w:val="22"/>
                <w:lang w:eastAsia="en-US"/>
              </w:rPr>
              <w:t xml:space="preserve">: </w:t>
            </w:r>
            <w:r>
              <w:rPr>
                <w:rFonts w:ascii="Arial-ItalicMT" w:eastAsiaTheme="minorHAnsi" w:hAnsi="Arial-ItalicMT" w:cs="Arial-ItalicMT"/>
                <w:i/>
                <w:iCs/>
                <w:sz w:val="22"/>
                <w:szCs w:val="22"/>
                <w:lang w:eastAsia="en-US"/>
              </w:rPr>
              <w:lastRenderedPageBreak/>
              <w:t xml:space="preserve">“Bogotá Camina Segura”, </w:t>
            </w:r>
            <w:r>
              <w:rPr>
                <w:rFonts w:ascii="ArialMT" w:eastAsiaTheme="minorHAnsi" w:hAnsi="ArialMT" w:cs="ArialMT"/>
                <w:sz w:val="22"/>
                <w:szCs w:val="22"/>
                <w:lang w:eastAsia="en-US"/>
              </w:rPr>
              <w:t>el cual constituye el marco de acción de las políticas, programas, estrategias y proyectos de la Administración Distrital.</w:t>
            </w:r>
          </w:p>
        </w:tc>
      </w:tr>
    </w:tbl>
    <w:p w14:paraId="03DC0ED4" w14:textId="659CCD36" w:rsidR="00E75257" w:rsidRDefault="00E75257" w:rsidP="00E75257">
      <w:pPr>
        <w:rPr>
          <w:sz w:val="22"/>
          <w:szCs w:val="22"/>
        </w:rPr>
      </w:pPr>
    </w:p>
    <w:p w14:paraId="23B5AA34" w14:textId="77777777" w:rsidR="0057672C" w:rsidRDefault="0057672C" w:rsidP="00E75257">
      <w:pPr>
        <w:rPr>
          <w:sz w:val="22"/>
          <w:szCs w:val="22"/>
        </w:rPr>
      </w:pPr>
    </w:p>
    <w:p w14:paraId="7650226D" w14:textId="43E2A788" w:rsidR="00DA381A" w:rsidRDefault="00DA381A" w:rsidP="00DA381A">
      <w:pPr>
        <w:pStyle w:val="Ttulo1"/>
        <w:numPr>
          <w:ilvl w:val="0"/>
          <w:numId w:val="2"/>
        </w:numPr>
        <w:rPr>
          <w:rStyle w:val="Ttulo1Car"/>
          <w:rFonts w:eastAsia="Calibri"/>
          <w:b/>
          <w:bCs/>
          <w:lang w:val="es-CO"/>
        </w:rPr>
      </w:pPr>
      <w:r>
        <w:rPr>
          <w:rStyle w:val="Ttulo1Car"/>
          <w:rFonts w:eastAsia="Calibri"/>
          <w:b/>
          <w:bCs/>
          <w:lang w:val="es-CO"/>
        </w:rPr>
        <w:t xml:space="preserve">TIPO DE MODIFICACIÓN </w:t>
      </w:r>
    </w:p>
    <w:p w14:paraId="7B45B138" w14:textId="77777777" w:rsidR="00DA381A" w:rsidRDefault="00DA381A" w:rsidP="00DA381A">
      <w:pPr>
        <w:rPr>
          <w:lang w:eastAsia="x-none"/>
        </w:rPr>
      </w:pPr>
    </w:p>
    <w:tbl>
      <w:tblPr>
        <w:tblStyle w:val="Tablaconcuadrcula"/>
        <w:tblW w:w="8075" w:type="dxa"/>
        <w:jc w:val="center"/>
        <w:tblLook w:val="04A0" w:firstRow="1" w:lastRow="0" w:firstColumn="1" w:lastColumn="0" w:noHBand="0" w:noVBand="1"/>
      </w:tblPr>
      <w:tblGrid>
        <w:gridCol w:w="2207"/>
        <w:gridCol w:w="482"/>
        <w:gridCol w:w="2268"/>
        <w:gridCol w:w="567"/>
        <w:gridCol w:w="1984"/>
        <w:gridCol w:w="567"/>
      </w:tblGrid>
      <w:tr w:rsidR="00DA381A" w14:paraId="0ABA1563" w14:textId="77777777" w:rsidTr="00960FAC">
        <w:trPr>
          <w:jc w:val="center"/>
        </w:trPr>
        <w:tc>
          <w:tcPr>
            <w:tcW w:w="2207" w:type="dxa"/>
          </w:tcPr>
          <w:p w14:paraId="3BACBAD6" w14:textId="77777777" w:rsidR="00DA381A" w:rsidRDefault="00DA381A" w:rsidP="00855615">
            <w:r>
              <w:t>Traslado Interno</w:t>
            </w:r>
          </w:p>
        </w:tc>
        <w:tc>
          <w:tcPr>
            <w:tcW w:w="482" w:type="dxa"/>
          </w:tcPr>
          <w:p w14:paraId="6C888991" w14:textId="3F097CAD" w:rsidR="00DA381A" w:rsidRDefault="00DA381A" w:rsidP="00855615"/>
        </w:tc>
        <w:tc>
          <w:tcPr>
            <w:tcW w:w="2268" w:type="dxa"/>
          </w:tcPr>
          <w:p w14:paraId="4D127A1C" w14:textId="77777777" w:rsidR="00DA381A" w:rsidRDefault="00DA381A" w:rsidP="00855615">
            <w:r>
              <w:t>Traslado Externo</w:t>
            </w:r>
          </w:p>
        </w:tc>
        <w:tc>
          <w:tcPr>
            <w:tcW w:w="567" w:type="dxa"/>
          </w:tcPr>
          <w:p w14:paraId="58E35684" w14:textId="06AAFFD0" w:rsidR="00DA381A" w:rsidRDefault="007A6596" w:rsidP="00855615">
            <w:r>
              <w:t>x</w:t>
            </w:r>
          </w:p>
        </w:tc>
        <w:tc>
          <w:tcPr>
            <w:tcW w:w="1984" w:type="dxa"/>
          </w:tcPr>
          <w:p w14:paraId="247AF7B2" w14:textId="77777777" w:rsidR="00DA381A" w:rsidRDefault="00DA381A" w:rsidP="00855615">
            <w:r>
              <w:t>Ajuste al PAA</w:t>
            </w:r>
          </w:p>
        </w:tc>
        <w:tc>
          <w:tcPr>
            <w:tcW w:w="567" w:type="dxa"/>
          </w:tcPr>
          <w:p w14:paraId="1C7D372A" w14:textId="6A00DDA0" w:rsidR="00DA381A" w:rsidRDefault="00DA381A" w:rsidP="00855615"/>
        </w:tc>
      </w:tr>
    </w:tbl>
    <w:p w14:paraId="0D78BDFC" w14:textId="77777777" w:rsidR="0057672C" w:rsidRDefault="0057672C" w:rsidP="00E75257">
      <w:pPr>
        <w:rPr>
          <w:sz w:val="22"/>
          <w:szCs w:val="22"/>
        </w:rPr>
      </w:pPr>
    </w:p>
    <w:p w14:paraId="22D70870" w14:textId="77777777" w:rsidR="0057672C" w:rsidRPr="00824BF6" w:rsidRDefault="0057672C" w:rsidP="00E75257">
      <w:pPr>
        <w:rPr>
          <w:sz w:val="22"/>
          <w:szCs w:val="22"/>
        </w:rPr>
      </w:pPr>
    </w:p>
    <w:p w14:paraId="2C319037" w14:textId="4E994DF0" w:rsidR="00E75257" w:rsidRDefault="00E75257" w:rsidP="00DA381A">
      <w:pPr>
        <w:pStyle w:val="Ttulo1"/>
        <w:numPr>
          <w:ilvl w:val="0"/>
          <w:numId w:val="2"/>
        </w:numPr>
        <w:rPr>
          <w:rStyle w:val="Ttulo1Car"/>
          <w:rFonts w:eastAsia="Calibri"/>
          <w:b/>
          <w:bCs/>
          <w:sz w:val="22"/>
          <w:szCs w:val="22"/>
          <w:lang w:val="es-ES"/>
        </w:rPr>
      </w:pPr>
      <w:r w:rsidRPr="00824BF6">
        <w:rPr>
          <w:rStyle w:val="Ttulo1Car"/>
          <w:rFonts w:eastAsia="Calibri"/>
          <w:b/>
          <w:bCs/>
          <w:sz w:val="22"/>
          <w:szCs w:val="22"/>
          <w:lang w:val="es-ES"/>
        </w:rPr>
        <w:t>JUSTIFICACIÓN</w:t>
      </w:r>
      <w:r w:rsidR="00FF1896" w:rsidRPr="00824BF6">
        <w:rPr>
          <w:rStyle w:val="Ttulo1Car"/>
          <w:rFonts w:eastAsia="Calibri"/>
          <w:b/>
          <w:bCs/>
          <w:sz w:val="22"/>
          <w:szCs w:val="22"/>
          <w:lang w:val="es-ES"/>
        </w:rPr>
        <w:t xml:space="preserve"> E</w:t>
      </w:r>
      <w:r w:rsidR="003650AE" w:rsidRPr="00824BF6">
        <w:rPr>
          <w:rStyle w:val="Ttulo1Car"/>
          <w:rFonts w:eastAsia="Calibri"/>
          <w:b/>
          <w:bCs/>
          <w:sz w:val="22"/>
          <w:szCs w:val="22"/>
          <w:lang w:val="es-ES"/>
        </w:rPr>
        <w:t>CONÓ</w:t>
      </w:r>
      <w:r w:rsidR="00FF1896" w:rsidRPr="00824BF6">
        <w:rPr>
          <w:rStyle w:val="Ttulo1Car"/>
          <w:rFonts w:eastAsia="Calibri"/>
          <w:b/>
          <w:bCs/>
          <w:sz w:val="22"/>
          <w:szCs w:val="22"/>
          <w:lang w:val="es-ES"/>
        </w:rPr>
        <w:t xml:space="preserve">MICA </w:t>
      </w:r>
      <w:r w:rsidR="003A1061">
        <w:rPr>
          <w:rStyle w:val="Ttulo1Car"/>
          <w:rFonts w:eastAsia="Calibri"/>
          <w:b/>
          <w:bCs/>
          <w:sz w:val="22"/>
          <w:szCs w:val="22"/>
          <w:lang w:val="es-ES"/>
        </w:rPr>
        <w:t>–</w:t>
      </w:r>
      <w:r w:rsidR="00FF1896" w:rsidRPr="00824BF6">
        <w:rPr>
          <w:rStyle w:val="Ttulo1Car"/>
          <w:rFonts w:eastAsia="Calibri"/>
          <w:b/>
          <w:bCs/>
          <w:sz w:val="22"/>
          <w:szCs w:val="22"/>
          <w:lang w:val="es-ES"/>
        </w:rPr>
        <w:t xml:space="preserve"> FINANCIERA</w:t>
      </w:r>
    </w:p>
    <w:p w14:paraId="20E13004" w14:textId="6A4FBC8A" w:rsidR="003A1061" w:rsidRDefault="003A1061" w:rsidP="003A1061">
      <w:pPr>
        <w:rPr>
          <w:lang w:val="es-ES" w:eastAsia="x-none"/>
        </w:rPr>
      </w:pPr>
    </w:p>
    <w:p w14:paraId="10AAD481" w14:textId="77777777" w:rsidR="007A6596" w:rsidRPr="007A6596" w:rsidRDefault="007A6596" w:rsidP="007A6596">
      <w:pPr>
        <w:jc w:val="both"/>
        <w:rPr>
          <w:bCs/>
          <w:sz w:val="22"/>
          <w:szCs w:val="22"/>
        </w:rPr>
      </w:pPr>
      <w:r w:rsidRPr="007A6596">
        <w:rPr>
          <w:bCs/>
          <w:sz w:val="22"/>
          <w:szCs w:val="22"/>
        </w:rPr>
        <w:t xml:space="preserve">El Convenio Especial de Cooperación para el Fomento de Actividades Científicas y Tecnológicas No. CO1.PCCNTR.4342426 de 2022 celebrado entre el FONDO FINANCIERO DISTRITAL – FFDS y la AGENCIA DISTRITAL PARA LA EDUCACIÓN SUPERIOR, LA CIENCIA Y LA TECNOLOGÍA – ATENEA que tiene por objeto </w:t>
      </w:r>
      <w:r w:rsidRPr="007A6596">
        <w:rPr>
          <w:bCs/>
          <w:i/>
          <w:iCs/>
          <w:sz w:val="22"/>
          <w:szCs w:val="22"/>
        </w:rPr>
        <w:t>“Aunar esfuerzos técnicos, administrativos y financieros encaminados al fortalecimiento de las capacidades en salud del Distrito que permita la creación del Centro de Desarrollo Tecnológico para la Producción de Biológicos en Bogotá”</w:t>
      </w:r>
      <w:r w:rsidRPr="007A6596">
        <w:rPr>
          <w:bCs/>
          <w:sz w:val="22"/>
          <w:szCs w:val="22"/>
        </w:rPr>
        <w:t xml:space="preserve"> </w:t>
      </w:r>
    </w:p>
    <w:p w14:paraId="04A722BF" w14:textId="77777777" w:rsidR="007A6596" w:rsidRPr="007A6596" w:rsidRDefault="007A6596" w:rsidP="007A6596">
      <w:pPr>
        <w:jc w:val="both"/>
        <w:rPr>
          <w:bCs/>
          <w:sz w:val="22"/>
          <w:szCs w:val="22"/>
        </w:rPr>
      </w:pPr>
    </w:p>
    <w:p w14:paraId="1AECB09D" w14:textId="77777777" w:rsidR="007A6596" w:rsidRPr="007A6596" w:rsidRDefault="007A6596" w:rsidP="007A6596">
      <w:pPr>
        <w:jc w:val="both"/>
        <w:rPr>
          <w:bCs/>
          <w:sz w:val="22"/>
          <w:szCs w:val="22"/>
          <w:lang w:val="es-MX"/>
        </w:rPr>
      </w:pPr>
      <w:r w:rsidRPr="007A6596">
        <w:rPr>
          <w:bCs/>
          <w:sz w:val="22"/>
          <w:szCs w:val="22"/>
        </w:rPr>
        <w:t xml:space="preserve">En dicho convenio se pactó en la cláusula tercera un valor de TRESCIENTOS TREINTA Y CUATRO MIL SETECIENTOS DIEZ MILLONES CIENTO SETENTA Y NUEVE MIL SEISCIENTOS TREINTA PESOS M/CTE ($334.710.179.630). </w:t>
      </w:r>
      <w:r w:rsidRPr="007A6596">
        <w:rPr>
          <w:bCs/>
          <w:sz w:val="22"/>
          <w:szCs w:val="22"/>
          <w:lang w:val="es-MX"/>
        </w:rPr>
        <w:t>Los recursos aportados por el FONDO FINANCIERO DISTRITAL DE SALUD, se discriminan de la siguiente manera:</w:t>
      </w:r>
    </w:p>
    <w:p w14:paraId="0540257F" w14:textId="77777777" w:rsidR="007A6596" w:rsidRPr="007A6596" w:rsidRDefault="007A6596" w:rsidP="007A6596">
      <w:pPr>
        <w:jc w:val="both"/>
        <w:rPr>
          <w:bCs/>
          <w:sz w:val="22"/>
          <w:szCs w:val="22"/>
          <w:lang w:val="es-MX"/>
        </w:rPr>
      </w:pPr>
    </w:p>
    <w:p w14:paraId="08EB1DEE" w14:textId="77777777" w:rsidR="007A6596" w:rsidRPr="007A6596" w:rsidRDefault="007A6596" w:rsidP="007A6596">
      <w:pPr>
        <w:pStyle w:val="Prrafodelista"/>
        <w:numPr>
          <w:ilvl w:val="0"/>
          <w:numId w:val="11"/>
        </w:numPr>
        <w:jc w:val="both"/>
        <w:rPr>
          <w:bCs/>
          <w:sz w:val="22"/>
          <w:szCs w:val="22"/>
          <w:lang w:val="es-MX"/>
        </w:rPr>
      </w:pPr>
      <w:r w:rsidRPr="007A6596">
        <w:rPr>
          <w:bCs/>
          <w:sz w:val="22"/>
          <w:szCs w:val="22"/>
          <w:lang w:val="es-MX"/>
        </w:rPr>
        <w:t xml:space="preserve">Vigencia 2022: Dentro del presupuesto para la vigencia 2022, un valor asignado de CINCUENTA MIL MILLONES DE PESOS M/CTE ($50.000.000.000). </w:t>
      </w:r>
    </w:p>
    <w:p w14:paraId="3EE7EE0E" w14:textId="77777777" w:rsidR="007A6596" w:rsidRPr="007A6596" w:rsidRDefault="007A6596" w:rsidP="007A6596">
      <w:pPr>
        <w:pStyle w:val="Prrafodelista"/>
        <w:numPr>
          <w:ilvl w:val="0"/>
          <w:numId w:val="11"/>
        </w:numPr>
        <w:jc w:val="both"/>
        <w:rPr>
          <w:bCs/>
          <w:sz w:val="22"/>
          <w:szCs w:val="22"/>
          <w:lang w:val="es-MX"/>
        </w:rPr>
      </w:pPr>
      <w:r w:rsidRPr="007A6596">
        <w:rPr>
          <w:bCs/>
          <w:sz w:val="22"/>
          <w:szCs w:val="22"/>
          <w:lang w:val="es-MX"/>
        </w:rPr>
        <w:t>Vigencia 2023: DIEZ MIL MILLONES DE PESOS CONSTANTES DE 2022 ($10.000.000.000).</w:t>
      </w:r>
    </w:p>
    <w:p w14:paraId="62A46A92" w14:textId="77777777" w:rsidR="007A6596" w:rsidRPr="007A6596" w:rsidRDefault="007A6596" w:rsidP="007A6596">
      <w:pPr>
        <w:pStyle w:val="Prrafodelista"/>
        <w:numPr>
          <w:ilvl w:val="0"/>
          <w:numId w:val="11"/>
        </w:numPr>
        <w:jc w:val="both"/>
        <w:rPr>
          <w:bCs/>
          <w:sz w:val="22"/>
          <w:szCs w:val="22"/>
          <w:lang w:val="es-MX"/>
        </w:rPr>
      </w:pPr>
      <w:r w:rsidRPr="007A6596">
        <w:rPr>
          <w:bCs/>
          <w:sz w:val="22"/>
          <w:szCs w:val="22"/>
          <w:lang w:val="es-MX"/>
        </w:rPr>
        <w:t xml:space="preserve">Vigencia 2024: CINCUENTA Y CINCO MIL MILLONES DE PESOS CONSTANTES DE 2022 ($55.000.000.000). </w:t>
      </w:r>
    </w:p>
    <w:p w14:paraId="58995AEC" w14:textId="77777777" w:rsidR="007A6596" w:rsidRPr="007A6596" w:rsidRDefault="007A6596" w:rsidP="007A6596">
      <w:pPr>
        <w:pStyle w:val="Prrafodelista"/>
        <w:numPr>
          <w:ilvl w:val="0"/>
          <w:numId w:val="11"/>
        </w:numPr>
        <w:jc w:val="both"/>
        <w:rPr>
          <w:bCs/>
          <w:sz w:val="22"/>
          <w:szCs w:val="22"/>
          <w:lang w:val="es-MX"/>
        </w:rPr>
      </w:pPr>
      <w:r w:rsidRPr="007A6596">
        <w:rPr>
          <w:bCs/>
          <w:sz w:val="22"/>
          <w:szCs w:val="22"/>
          <w:lang w:val="es-MX"/>
        </w:rPr>
        <w:t xml:space="preserve">Vigencia 2025: CIEN MIL MILLONES DE PESOS CONSTANTES DE 2022 ($100.000.000.000). </w:t>
      </w:r>
    </w:p>
    <w:p w14:paraId="0E42018E" w14:textId="77777777" w:rsidR="007A6596" w:rsidRPr="007A6596" w:rsidRDefault="007A6596" w:rsidP="007A6596">
      <w:pPr>
        <w:pStyle w:val="Prrafodelista"/>
        <w:numPr>
          <w:ilvl w:val="0"/>
          <w:numId w:val="11"/>
        </w:numPr>
        <w:jc w:val="both"/>
        <w:rPr>
          <w:bCs/>
          <w:sz w:val="22"/>
          <w:szCs w:val="22"/>
          <w:lang w:val="es-MX"/>
        </w:rPr>
      </w:pPr>
      <w:r w:rsidRPr="007A6596">
        <w:rPr>
          <w:bCs/>
          <w:sz w:val="22"/>
          <w:szCs w:val="22"/>
          <w:lang w:val="es-MX"/>
        </w:rPr>
        <w:t>Vigencia 2026: CIENTO DIECINUEVE MIL MILLONES DE PESOS CONSTANTES DE 2022 ($119.000.000.000).</w:t>
      </w:r>
    </w:p>
    <w:p w14:paraId="154254B1" w14:textId="77777777" w:rsidR="007A6596" w:rsidRPr="007A6596" w:rsidRDefault="007A6596" w:rsidP="007A6596">
      <w:pPr>
        <w:pStyle w:val="Prrafodelista"/>
        <w:numPr>
          <w:ilvl w:val="0"/>
          <w:numId w:val="11"/>
        </w:numPr>
        <w:jc w:val="both"/>
        <w:rPr>
          <w:bCs/>
          <w:sz w:val="22"/>
          <w:szCs w:val="22"/>
          <w:lang w:val="es-MX"/>
        </w:rPr>
      </w:pPr>
      <w:r w:rsidRPr="007A6596">
        <w:rPr>
          <w:bCs/>
          <w:sz w:val="22"/>
          <w:szCs w:val="22"/>
          <w:lang w:val="es-MX"/>
        </w:rPr>
        <w:t>Los recursos aportados por ATENEA: SETECIENTOS DIEZ MILLONES CIENTO SETENTA Y NUEVE MIL SEISCIENTOS TREINTA PESOS MCTE. ($710.179.630) en especie.</w:t>
      </w:r>
    </w:p>
    <w:p w14:paraId="2CB7D54E" w14:textId="77777777" w:rsidR="007A6596" w:rsidRPr="007A6596" w:rsidRDefault="007A6596" w:rsidP="007A6596">
      <w:pPr>
        <w:jc w:val="both"/>
        <w:rPr>
          <w:bCs/>
          <w:sz w:val="22"/>
          <w:szCs w:val="22"/>
        </w:rPr>
      </w:pPr>
    </w:p>
    <w:p w14:paraId="237EE45C" w14:textId="77777777" w:rsidR="007A6596" w:rsidRPr="007A6596" w:rsidRDefault="007A6596" w:rsidP="007A6596">
      <w:pPr>
        <w:jc w:val="both"/>
        <w:rPr>
          <w:bCs/>
          <w:sz w:val="22"/>
          <w:szCs w:val="22"/>
          <w:lang w:val="es-MX"/>
        </w:rPr>
      </w:pPr>
      <w:r w:rsidRPr="007A6596">
        <w:rPr>
          <w:bCs/>
          <w:sz w:val="22"/>
          <w:szCs w:val="22"/>
          <w:lang w:val="es-MX"/>
        </w:rPr>
        <w:t xml:space="preserve">Estos recursos están soportados dentro del proyecto de inversión 7919 con la autorización del </w:t>
      </w:r>
      <w:r w:rsidRPr="007A6596">
        <w:rPr>
          <w:bCs/>
          <w:sz w:val="22"/>
          <w:szCs w:val="22"/>
        </w:rPr>
        <w:t xml:space="preserve">CONFIS Distrital en sesión No. 26 del </w:t>
      </w:r>
      <w:r w:rsidRPr="007A6596">
        <w:rPr>
          <w:bCs/>
          <w:sz w:val="22"/>
          <w:szCs w:val="22"/>
          <w:lang w:val="es-MX"/>
        </w:rPr>
        <w:t xml:space="preserve">15 de diciembre de 2022 realizada </w:t>
      </w:r>
      <w:r w:rsidRPr="007A6596">
        <w:rPr>
          <w:bCs/>
          <w:sz w:val="22"/>
          <w:szCs w:val="22"/>
        </w:rPr>
        <w:t xml:space="preserve">a la Secretaría Distrital de Salud - SDS – Fondo Financiero Distrital de Salud – FFDS, asumir compromisos con cargo a las vigencias futuras 2023-2026 para el proyecto de inversión No. 7919 </w:t>
      </w:r>
      <w:r w:rsidRPr="007A6596">
        <w:rPr>
          <w:bCs/>
          <w:sz w:val="22"/>
          <w:szCs w:val="22"/>
        </w:rPr>
        <w:lastRenderedPageBreak/>
        <w:t>"Generación de capacidades para la creación del Centro de Desarrollo Tecnológico de Producción de Biológicos Bogotá”, por valor de $284.000.000.000 constantes 2022 ($319.729.885.728 corrientes), conforme al siguiente detalle y consideraciones:</w:t>
      </w:r>
    </w:p>
    <w:p w14:paraId="560B5ACA" w14:textId="77777777" w:rsidR="007A6596" w:rsidRPr="007A6596" w:rsidRDefault="007A6596" w:rsidP="007A6596">
      <w:pPr>
        <w:jc w:val="center"/>
        <w:rPr>
          <w:bCs/>
          <w:sz w:val="22"/>
          <w:szCs w:val="22"/>
        </w:rPr>
      </w:pPr>
      <w:r w:rsidRPr="007A6596">
        <w:rPr>
          <w:bCs/>
          <w:noProof/>
          <w:sz w:val="22"/>
          <w:szCs w:val="22"/>
        </w:rPr>
        <w:drawing>
          <wp:inline distT="0" distB="0" distL="0" distR="0" wp14:anchorId="7808C16C" wp14:editId="02F14074">
            <wp:extent cx="4429743" cy="1486107"/>
            <wp:effectExtent l="0" t="0" r="9525" b="0"/>
            <wp:docPr id="5573115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989513" name=""/>
                    <pic:cNvPicPr/>
                  </pic:nvPicPr>
                  <pic:blipFill>
                    <a:blip r:embed="rId11"/>
                    <a:stretch>
                      <a:fillRect/>
                    </a:stretch>
                  </pic:blipFill>
                  <pic:spPr>
                    <a:xfrm>
                      <a:off x="0" y="0"/>
                      <a:ext cx="4429743" cy="1486107"/>
                    </a:xfrm>
                    <a:prstGeom prst="rect">
                      <a:avLst/>
                    </a:prstGeom>
                  </pic:spPr>
                </pic:pic>
              </a:graphicData>
            </a:graphic>
          </wp:inline>
        </w:drawing>
      </w:r>
    </w:p>
    <w:p w14:paraId="0CA6C829" w14:textId="77777777" w:rsidR="007A6596" w:rsidRPr="007A6596" w:rsidRDefault="007A6596" w:rsidP="007A6596">
      <w:pPr>
        <w:jc w:val="both"/>
        <w:rPr>
          <w:bCs/>
          <w:sz w:val="22"/>
          <w:szCs w:val="22"/>
        </w:rPr>
      </w:pPr>
    </w:p>
    <w:p w14:paraId="75597906" w14:textId="77777777" w:rsidR="007A6596" w:rsidRPr="007A6596" w:rsidRDefault="007A6596" w:rsidP="007A6596">
      <w:pPr>
        <w:jc w:val="both"/>
        <w:rPr>
          <w:bCs/>
          <w:sz w:val="22"/>
          <w:szCs w:val="22"/>
        </w:rPr>
      </w:pPr>
      <w:r w:rsidRPr="007A6596">
        <w:rPr>
          <w:bCs/>
          <w:sz w:val="22"/>
          <w:szCs w:val="22"/>
        </w:rPr>
        <w:t>Debido a que la autorización de las vigencias futuras se realizó en precios constantes para el año 2022, es necesario que anualmente se proceda a indexar cada partida para expresarlas a precios corrientes de cada vigencia correspondiente dado que es de esa forma como se incorporan en programación presupuestal, se realizó la modificación de la cláusula tercera del convenio No. CO1.PCCNTR.4342426 de 2022 incluyendo el siguiente parágrafo:</w:t>
      </w:r>
    </w:p>
    <w:p w14:paraId="0484DADD" w14:textId="77777777" w:rsidR="007A6596" w:rsidRPr="007A6596" w:rsidRDefault="007A6596" w:rsidP="007A6596">
      <w:pPr>
        <w:jc w:val="both"/>
        <w:rPr>
          <w:bCs/>
          <w:sz w:val="22"/>
          <w:szCs w:val="22"/>
        </w:rPr>
      </w:pPr>
    </w:p>
    <w:p w14:paraId="77CCF12D" w14:textId="77777777" w:rsidR="007A6596" w:rsidRPr="007A6596" w:rsidRDefault="007A6596" w:rsidP="007A6596">
      <w:pPr>
        <w:ind w:left="567"/>
        <w:jc w:val="both"/>
        <w:rPr>
          <w:i/>
          <w:iCs/>
          <w:sz w:val="22"/>
          <w:szCs w:val="22"/>
        </w:rPr>
      </w:pPr>
      <w:r w:rsidRPr="007A6596">
        <w:rPr>
          <w:i/>
          <w:iCs/>
          <w:sz w:val="22"/>
          <w:szCs w:val="22"/>
        </w:rPr>
        <w:t>“Parágrafo: Con el fin de garantizar que las vigencias futuras aprobadas por el CONFIS en sesión No. 26 del 14 de diciembre de 2022 para las vigencias fiscales del periodo 2023 a 2026 establecidos la presente clausula, sean presupuestados y transferidos en pesos corrientes en cada año correspondiente, se deberá indexar los valores constantes de acuerdo con la metodología y los supuestos macroeconómicos de Inflación (IPC) establecidos anualmente por la Secretaría Distrital de Hacienda.”</w:t>
      </w:r>
    </w:p>
    <w:p w14:paraId="0C4D4197" w14:textId="77777777" w:rsidR="007A6596" w:rsidRPr="007A6596" w:rsidRDefault="007A6596" w:rsidP="007A6596">
      <w:pPr>
        <w:jc w:val="both"/>
        <w:rPr>
          <w:sz w:val="22"/>
          <w:szCs w:val="22"/>
        </w:rPr>
      </w:pPr>
    </w:p>
    <w:p w14:paraId="0AD9E340" w14:textId="77777777" w:rsidR="007A6596" w:rsidRPr="007A6596" w:rsidRDefault="007A6596" w:rsidP="007A6596">
      <w:pPr>
        <w:jc w:val="both"/>
        <w:rPr>
          <w:bCs/>
          <w:sz w:val="22"/>
          <w:szCs w:val="22"/>
        </w:rPr>
      </w:pPr>
      <w:r w:rsidRPr="007A6596">
        <w:rPr>
          <w:bCs/>
          <w:sz w:val="22"/>
          <w:szCs w:val="22"/>
        </w:rPr>
        <w:t>Teniendo en cuenta lo anterior, en la vigencia 2022 se proyectó las indexaciones de las vigencias futuras aprobadas, mediante la proyección del IPC para los siguientes años, atendiendo la metodología de valor futuro y aplicando las fórmulas establecidas arrojando los siguientes valores:</w:t>
      </w:r>
    </w:p>
    <w:p w14:paraId="63EFB3DD" w14:textId="77777777" w:rsidR="007A6596" w:rsidRPr="007A6596" w:rsidRDefault="007A6596" w:rsidP="007A6596">
      <w:pPr>
        <w:jc w:val="both"/>
        <w:rPr>
          <w:color w:val="0070C0"/>
          <w:sz w:val="22"/>
          <w:szCs w:val="22"/>
        </w:rPr>
      </w:pPr>
    </w:p>
    <w:tbl>
      <w:tblPr>
        <w:tblW w:w="7797" w:type="dxa"/>
        <w:jc w:val="center"/>
        <w:tblCellMar>
          <w:left w:w="70" w:type="dxa"/>
          <w:right w:w="70" w:type="dxa"/>
        </w:tblCellMar>
        <w:tblLook w:val="04A0" w:firstRow="1" w:lastRow="0" w:firstColumn="1" w:lastColumn="0" w:noHBand="0" w:noVBand="1"/>
      </w:tblPr>
      <w:tblGrid>
        <w:gridCol w:w="2410"/>
        <w:gridCol w:w="1985"/>
        <w:gridCol w:w="1842"/>
        <w:gridCol w:w="1560"/>
      </w:tblGrid>
      <w:tr w:rsidR="007A6596" w:rsidRPr="00C42331" w14:paraId="1B5D5EB9" w14:textId="77777777" w:rsidTr="00C42331">
        <w:trPr>
          <w:trHeight w:val="383"/>
          <w:jc w:val="center"/>
        </w:trPr>
        <w:tc>
          <w:tcPr>
            <w:tcW w:w="7797" w:type="dxa"/>
            <w:gridSpan w:val="4"/>
            <w:tcBorders>
              <w:top w:val="nil"/>
              <w:left w:val="nil"/>
              <w:bottom w:val="single" w:sz="4" w:space="0" w:color="auto"/>
              <w:right w:val="nil"/>
            </w:tcBorders>
            <w:shd w:val="clear" w:color="auto" w:fill="auto"/>
            <w:noWrap/>
            <w:vAlign w:val="center"/>
            <w:hideMark/>
          </w:tcPr>
          <w:p w14:paraId="49FD7424" w14:textId="77777777" w:rsidR="007A6596" w:rsidRPr="00C42331" w:rsidRDefault="007A6596" w:rsidP="00E66F1C">
            <w:pPr>
              <w:jc w:val="center"/>
              <w:rPr>
                <w:b/>
                <w:bCs/>
                <w:color w:val="000000"/>
                <w:sz w:val="16"/>
                <w:szCs w:val="16"/>
              </w:rPr>
            </w:pPr>
            <w:r w:rsidRPr="00C42331">
              <w:rPr>
                <w:b/>
                <w:bCs/>
                <w:color w:val="000000"/>
                <w:sz w:val="16"/>
                <w:szCs w:val="16"/>
              </w:rPr>
              <w:t>EJECUCION VIGENCIAS FUTURAS APROBADAS CONFIS (COP2022=100)</w:t>
            </w:r>
          </w:p>
        </w:tc>
      </w:tr>
      <w:tr w:rsidR="007A6596" w:rsidRPr="00C42331" w14:paraId="57D079CD" w14:textId="77777777" w:rsidTr="00C42331">
        <w:trPr>
          <w:trHeight w:val="945"/>
          <w:jc w:val="center"/>
        </w:trPr>
        <w:tc>
          <w:tcPr>
            <w:tcW w:w="2410" w:type="dxa"/>
            <w:tcBorders>
              <w:top w:val="nil"/>
              <w:left w:val="single" w:sz="4" w:space="0" w:color="auto"/>
              <w:bottom w:val="single" w:sz="4" w:space="0" w:color="auto"/>
              <w:right w:val="single" w:sz="4" w:space="0" w:color="auto"/>
            </w:tcBorders>
            <w:shd w:val="clear" w:color="000000" w:fill="B4C6E7"/>
            <w:vAlign w:val="center"/>
            <w:hideMark/>
          </w:tcPr>
          <w:p w14:paraId="6807AA48" w14:textId="77777777" w:rsidR="007A6596" w:rsidRPr="00C42331" w:rsidRDefault="007A6596" w:rsidP="00E66F1C">
            <w:pPr>
              <w:jc w:val="center"/>
              <w:rPr>
                <w:b/>
                <w:bCs/>
                <w:color w:val="000000"/>
                <w:sz w:val="16"/>
                <w:szCs w:val="16"/>
              </w:rPr>
            </w:pPr>
            <w:r w:rsidRPr="00C42331">
              <w:rPr>
                <w:b/>
                <w:bCs/>
                <w:color w:val="000000"/>
                <w:sz w:val="16"/>
                <w:szCs w:val="16"/>
              </w:rPr>
              <w:t>CONCEPTO</w:t>
            </w:r>
          </w:p>
        </w:tc>
        <w:tc>
          <w:tcPr>
            <w:tcW w:w="1985" w:type="dxa"/>
            <w:tcBorders>
              <w:top w:val="nil"/>
              <w:left w:val="nil"/>
              <w:bottom w:val="nil"/>
              <w:right w:val="single" w:sz="4" w:space="0" w:color="auto"/>
            </w:tcBorders>
            <w:shd w:val="clear" w:color="000000" w:fill="B4C6E7"/>
            <w:vAlign w:val="center"/>
            <w:hideMark/>
          </w:tcPr>
          <w:p w14:paraId="091C8C83" w14:textId="77777777" w:rsidR="007A6596" w:rsidRPr="00C42331" w:rsidRDefault="007A6596" w:rsidP="00E66F1C">
            <w:pPr>
              <w:jc w:val="center"/>
              <w:rPr>
                <w:b/>
                <w:bCs/>
                <w:color w:val="000000"/>
                <w:sz w:val="16"/>
                <w:szCs w:val="16"/>
              </w:rPr>
            </w:pPr>
            <w:r w:rsidRPr="00C42331">
              <w:rPr>
                <w:b/>
                <w:bCs/>
                <w:color w:val="000000"/>
                <w:sz w:val="16"/>
                <w:szCs w:val="16"/>
              </w:rPr>
              <w:t>VALOR</w:t>
            </w:r>
            <w:r w:rsidRPr="00C42331">
              <w:rPr>
                <w:b/>
                <w:bCs/>
                <w:color w:val="000000"/>
                <w:sz w:val="16"/>
                <w:szCs w:val="16"/>
              </w:rPr>
              <w:br/>
              <w:t>(Constantes de 2022)</w:t>
            </w:r>
          </w:p>
        </w:tc>
        <w:tc>
          <w:tcPr>
            <w:tcW w:w="1842" w:type="dxa"/>
            <w:tcBorders>
              <w:top w:val="nil"/>
              <w:left w:val="nil"/>
              <w:bottom w:val="single" w:sz="4" w:space="0" w:color="auto"/>
              <w:right w:val="single" w:sz="4" w:space="0" w:color="auto"/>
            </w:tcBorders>
            <w:shd w:val="clear" w:color="000000" w:fill="B4C6E7"/>
            <w:vAlign w:val="center"/>
            <w:hideMark/>
          </w:tcPr>
          <w:p w14:paraId="274736D6" w14:textId="77777777" w:rsidR="007A6596" w:rsidRPr="00C42331" w:rsidRDefault="007A6596" w:rsidP="00E66F1C">
            <w:pPr>
              <w:jc w:val="center"/>
              <w:rPr>
                <w:b/>
                <w:bCs/>
                <w:color w:val="000000"/>
                <w:sz w:val="16"/>
                <w:szCs w:val="16"/>
              </w:rPr>
            </w:pPr>
            <w:r w:rsidRPr="00C42331">
              <w:rPr>
                <w:b/>
                <w:bCs/>
                <w:color w:val="000000"/>
                <w:sz w:val="16"/>
                <w:szCs w:val="16"/>
              </w:rPr>
              <w:t xml:space="preserve">INDEXACION </w:t>
            </w:r>
          </w:p>
        </w:tc>
        <w:tc>
          <w:tcPr>
            <w:tcW w:w="1560" w:type="dxa"/>
            <w:tcBorders>
              <w:top w:val="nil"/>
              <w:left w:val="nil"/>
              <w:bottom w:val="single" w:sz="4" w:space="0" w:color="auto"/>
              <w:right w:val="single" w:sz="4" w:space="0" w:color="auto"/>
            </w:tcBorders>
            <w:shd w:val="clear" w:color="000000" w:fill="B4C6E7"/>
            <w:noWrap/>
            <w:vAlign w:val="center"/>
            <w:hideMark/>
          </w:tcPr>
          <w:p w14:paraId="720F80E3" w14:textId="77777777" w:rsidR="007A6596" w:rsidRPr="00C42331" w:rsidRDefault="007A6596" w:rsidP="00E66F1C">
            <w:pPr>
              <w:jc w:val="center"/>
              <w:rPr>
                <w:b/>
                <w:bCs/>
                <w:color w:val="000000"/>
                <w:sz w:val="16"/>
                <w:szCs w:val="16"/>
              </w:rPr>
            </w:pPr>
            <w:r w:rsidRPr="00C42331">
              <w:rPr>
                <w:b/>
                <w:bCs/>
                <w:color w:val="000000"/>
                <w:sz w:val="16"/>
                <w:szCs w:val="16"/>
              </w:rPr>
              <w:t>TOTAL</w:t>
            </w:r>
          </w:p>
        </w:tc>
      </w:tr>
      <w:tr w:rsidR="007A6596" w:rsidRPr="00C42331" w14:paraId="49F0F866" w14:textId="77777777" w:rsidTr="00C42331">
        <w:trPr>
          <w:trHeight w:val="315"/>
          <w:jc w:val="center"/>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73DD98B1" w14:textId="77777777" w:rsidR="007A6596" w:rsidRPr="00C42331" w:rsidRDefault="007A6596" w:rsidP="00E66F1C">
            <w:pPr>
              <w:rPr>
                <w:color w:val="000000"/>
                <w:sz w:val="16"/>
                <w:szCs w:val="16"/>
              </w:rPr>
            </w:pPr>
            <w:r w:rsidRPr="00C42331">
              <w:rPr>
                <w:color w:val="000000"/>
                <w:sz w:val="16"/>
                <w:szCs w:val="16"/>
              </w:rPr>
              <w:t>Presupuesto vigencia 2022 (1)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737BBBC" w14:textId="77777777" w:rsidR="007A6596" w:rsidRPr="00C42331" w:rsidRDefault="007A6596" w:rsidP="00E66F1C">
            <w:pPr>
              <w:jc w:val="right"/>
              <w:rPr>
                <w:color w:val="000000"/>
                <w:sz w:val="16"/>
                <w:szCs w:val="16"/>
              </w:rPr>
            </w:pPr>
            <w:r w:rsidRPr="00C42331">
              <w:rPr>
                <w:color w:val="000000"/>
                <w:sz w:val="16"/>
                <w:szCs w:val="16"/>
              </w:rPr>
              <w:t>50.000.000.000</w:t>
            </w:r>
          </w:p>
        </w:tc>
        <w:tc>
          <w:tcPr>
            <w:tcW w:w="1842" w:type="dxa"/>
            <w:tcBorders>
              <w:top w:val="nil"/>
              <w:left w:val="nil"/>
              <w:bottom w:val="single" w:sz="4" w:space="0" w:color="auto"/>
              <w:right w:val="single" w:sz="4" w:space="0" w:color="auto"/>
            </w:tcBorders>
            <w:shd w:val="clear" w:color="auto" w:fill="auto"/>
            <w:vAlign w:val="center"/>
            <w:hideMark/>
          </w:tcPr>
          <w:p w14:paraId="5029D178" w14:textId="77777777" w:rsidR="007A6596" w:rsidRPr="00C42331" w:rsidRDefault="007A6596" w:rsidP="00E66F1C">
            <w:pPr>
              <w:jc w:val="right"/>
              <w:rPr>
                <w:color w:val="000000"/>
                <w:sz w:val="16"/>
                <w:szCs w:val="16"/>
              </w:rPr>
            </w:pPr>
            <w:r w:rsidRPr="00C42331">
              <w:rPr>
                <w:color w:val="000000"/>
                <w:sz w:val="16"/>
                <w:szCs w:val="16"/>
              </w:rPr>
              <w:t xml:space="preserve">                         -   </w:t>
            </w:r>
          </w:p>
        </w:tc>
        <w:tc>
          <w:tcPr>
            <w:tcW w:w="1560" w:type="dxa"/>
            <w:tcBorders>
              <w:top w:val="nil"/>
              <w:left w:val="nil"/>
              <w:bottom w:val="single" w:sz="4" w:space="0" w:color="auto"/>
              <w:right w:val="single" w:sz="4" w:space="0" w:color="auto"/>
            </w:tcBorders>
            <w:shd w:val="clear" w:color="auto" w:fill="auto"/>
            <w:vAlign w:val="center"/>
            <w:hideMark/>
          </w:tcPr>
          <w:p w14:paraId="6F55CEF1" w14:textId="77777777" w:rsidR="007A6596" w:rsidRPr="00C42331" w:rsidRDefault="007A6596" w:rsidP="00E66F1C">
            <w:pPr>
              <w:jc w:val="right"/>
              <w:rPr>
                <w:color w:val="000000"/>
                <w:sz w:val="16"/>
                <w:szCs w:val="16"/>
              </w:rPr>
            </w:pPr>
            <w:r w:rsidRPr="00C42331">
              <w:rPr>
                <w:color w:val="000000"/>
                <w:sz w:val="16"/>
                <w:szCs w:val="16"/>
              </w:rPr>
              <w:t xml:space="preserve">    50.000.000.000 </w:t>
            </w:r>
          </w:p>
        </w:tc>
      </w:tr>
      <w:tr w:rsidR="007A6596" w:rsidRPr="00C42331" w14:paraId="02026641" w14:textId="77777777" w:rsidTr="00C42331">
        <w:trPr>
          <w:trHeight w:val="315"/>
          <w:jc w:val="center"/>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3C763CD8" w14:textId="77777777" w:rsidR="007A6596" w:rsidRPr="00C42331" w:rsidRDefault="007A6596" w:rsidP="00E66F1C">
            <w:pPr>
              <w:rPr>
                <w:color w:val="000000"/>
                <w:sz w:val="16"/>
                <w:szCs w:val="16"/>
              </w:rPr>
            </w:pPr>
            <w:r w:rsidRPr="00C42331">
              <w:rPr>
                <w:color w:val="000000"/>
                <w:sz w:val="16"/>
                <w:szCs w:val="16"/>
              </w:rPr>
              <w:t>Vigencias Futuras 2023 (1)</w:t>
            </w:r>
          </w:p>
        </w:tc>
        <w:tc>
          <w:tcPr>
            <w:tcW w:w="1985" w:type="dxa"/>
            <w:tcBorders>
              <w:top w:val="nil"/>
              <w:left w:val="nil"/>
              <w:bottom w:val="single" w:sz="4" w:space="0" w:color="auto"/>
              <w:right w:val="single" w:sz="4" w:space="0" w:color="auto"/>
            </w:tcBorders>
            <w:shd w:val="clear" w:color="auto" w:fill="auto"/>
            <w:vAlign w:val="center"/>
            <w:hideMark/>
          </w:tcPr>
          <w:p w14:paraId="1F08F181" w14:textId="77777777" w:rsidR="007A6596" w:rsidRPr="00C42331" w:rsidRDefault="007A6596" w:rsidP="00E66F1C">
            <w:pPr>
              <w:jc w:val="right"/>
              <w:rPr>
                <w:color w:val="000000"/>
                <w:sz w:val="16"/>
                <w:szCs w:val="16"/>
              </w:rPr>
            </w:pPr>
            <w:r w:rsidRPr="00C42331">
              <w:rPr>
                <w:color w:val="000000"/>
                <w:sz w:val="16"/>
                <w:szCs w:val="16"/>
              </w:rPr>
              <w:t>10.000.000.000</w:t>
            </w:r>
          </w:p>
        </w:tc>
        <w:tc>
          <w:tcPr>
            <w:tcW w:w="1842" w:type="dxa"/>
            <w:tcBorders>
              <w:top w:val="nil"/>
              <w:left w:val="nil"/>
              <w:bottom w:val="single" w:sz="4" w:space="0" w:color="auto"/>
              <w:right w:val="single" w:sz="4" w:space="0" w:color="auto"/>
            </w:tcBorders>
            <w:shd w:val="clear" w:color="auto" w:fill="auto"/>
            <w:vAlign w:val="center"/>
            <w:hideMark/>
          </w:tcPr>
          <w:p w14:paraId="35259CD5" w14:textId="77777777" w:rsidR="007A6596" w:rsidRPr="00C42331" w:rsidRDefault="007A6596" w:rsidP="00E66F1C">
            <w:pPr>
              <w:jc w:val="right"/>
              <w:rPr>
                <w:color w:val="000000"/>
                <w:sz w:val="16"/>
                <w:szCs w:val="16"/>
              </w:rPr>
            </w:pPr>
            <w:r w:rsidRPr="00C42331">
              <w:rPr>
                <w:color w:val="000000"/>
                <w:sz w:val="16"/>
                <w:szCs w:val="16"/>
              </w:rPr>
              <w:t xml:space="preserve">     1.312.000.000 </w:t>
            </w:r>
          </w:p>
        </w:tc>
        <w:tc>
          <w:tcPr>
            <w:tcW w:w="1560" w:type="dxa"/>
            <w:tcBorders>
              <w:top w:val="nil"/>
              <w:left w:val="nil"/>
              <w:bottom w:val="single" w:sz="4" w:space="0" w:color="auto"/>
              <w:right w:val="single" w:sz="4" w:space="0" w:color="auto"/>
            </w:tcBorders>
            <w:shd w:val="clear" w:color="auto" w:fill="auto"/>
            <w:vAlign w:val="center"/>
            <w:hideMark/>
          </w:tcPr>
          <w:p w14:paraId="7EFE6F57" w14:textId="77777777" w:rsidR="007A6596" w:rsidRPr="00C42331" w:rsidRDefault="007A6596" w:rsidP="00E66F1C">
            <w:pPr>
              <w:jc w:val="right"/>
              <w:rPr>
                <w:color w:val="000000"/>
                <w:sz w:val="16"/>
                <w:szCs w:val="16"/>
              </w:rPr>
            </w:pPr>
            <w:r w:rsidRPr="00C42331">
              <w:rPr>
                <w:color w:val="000000"/>
                <w:sz w:val="16"/>
                <w:szCs w:val="16"/>
              </w:rPr>
              <w:t xml:space="preserve">    11.312.000.000 </w:t>
            </w:r>
          </w:p>
        </w:tc>
      </w:tr>
      <w:tr w:rsidR="007A6596" w:rsidRPr="00C42331" w14:paraId="00CCA6BC" w14:textId="77777777" w:rsidTr="00C42331">
        <w:trPr>
          <w:trHeight w:val="315"/>
          <w:jc w:val="center"/>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311972A7" w14:textId="77777777" w:rsidR="007A6596" w:rsidRPr="00C42331" w:rsidRDefault="007A6596" w:rsidP="00E66F1C">
            <w:pPr>
              <w:rPr>
                <w:color w:val="000000"/>
                <w:sz w:val="16"/>
                <w:szCs w:val="16"/>
              </w:rPr>
            </w:pPr>
            <w:r w:rsidRPr="00C42331">
              <w:rPr>
                <w:color w:val="000000"/>
                <w:sz w:val="16"/>
                <w:szCs w:val="16"/>
              </w:rPr>
              <w:t>Vigencias Futuras 2024 (**)</w:t>
            </w:r>
          </w:p>
        </w:tc>
        <w:tc>
          <w:tcPr>
            <w:tcW w:w="1985" w:type="dxa"/>
            <w:tcBorders>
              <w:top w:val="nil"/>
              <w:left w:val="nil"/>
              <w:bottom w:val="single" w:sz="4" w:space="0" w:color="auto"/>
              <w:right w:val="single" w:sz="4" w:space="0" w:color="auto"/>
            </w:tcBorders>
            <w:shd w:val="clear" w:color="auto" w:fill="auto"/>
            <w:vAlign w:val="center"/>
            <w:hideMark/>
          </w:tcPr>
          <w:p w14:paraId="38503C80" w14:textId="77777777" w:rsidR="007A6596" w:rsidRPr="00C42331" w:rsidRDefault="007A6596" w:rsidP="00E66F1C">
            <w:pPr>
              <w:jc w:val="right"/>
              <w:rPr>
                <w:color w:val="000000"/>
                <w:sz w:val="16"/>
                <w:szCs w:val="16"/>
              </w:rPr>
            </w:pPr>
            <w:r w:rsidRPr="00C42331">
              <w:rPr>
                <w:color w:val="000000"/>
                <w:sz w:val="16"/>
                <w:szCs w:val="16"/>
              </w:rPr>
              <w:t>55.000.000.000</w:t>
            </w:r>
          </w:p>
        </w:tc>
        <w:tc>
          <w:tcPr>
            <w:tcW w:w="1842" w:type="dxa"/>
            <w:tcBorders>
              <w:top w:val="nil"/>
              <w:left w:val="nil"/>
              <w:bottom w:val="single" w:sz="4" w:space="0" w:color="auto"/>
              <w:right w:val="single" w:sz="4" w:space="0" w:color="auto"/>
            </w:tcBorders>
            <w:shd w:val="clear" w:color="auto" w:fill="auto"/>
            <w:vAlign w:val="center"/>
            <w:hideMark/>
          </w:tcPr>
          <w:p w14:paraId="792DBE15" w14:textId="77777777" w:rsidR="007A6596" w:rsidRPr="00C42331" w:rsidRDefault="007A6596" w:rsidP="00E66F1C">
            <w:pPr>
              <w:jc w:val="right"/>
              <w:rPr>
                <w:color w:val="000000"/>
                <w:sz w:val="16"/>
                <w:szCs w:val="16"/>
              </w:rPr>
            </w:pPr>
            <w:r w:rsidRPr="00C42331">
              <w:rPr>
                <w:color w:val="000000"/>
                <w:sz w:val="16"/>
                <w:szCs w:val="16"/>
              </w:rPr>
              <w:t xml:space="preserve">12.989.644.800 </w:t>
            </w:r>
          </w:p>
        </w:tc>
        <w:tc>
          <w:tcPr>
            <w:tcW w:w="1560" w:type="dxa"/>
            <w:tcBorders>
              <w:top w:val="nil"/>
              <w:left w:val="nil"/>
              <w:bottom w:val="single" w:sz="4" w:space="0" w:color="auto"/>
              <w:right w:val="single" w:sz="4" w:space="0" w:color="auto"/>
            </w:tcBorders>
            <w:shd w:val="clear" w:color="auto" w:fill="auto"/>
            <w:vAlign w:val="center"/>
            <w:hideMark/>
          </w:tcPr>
          <w:p w14:paraId="6AE225AF" w14:textId="77777777" w:rsidR="007A6596" w:rsidRPr="00C42331" w:rsidRDefault="007A6596" w:rsidP="00E66F1C">
            <w:pPr>
              <w:jc w:val="right"/>
              <w:rPr>
                <w:color w:val="000000"/>
                <w:sz w:val="16"/>
                <w:szCs w:val="16"/>
              </w:rPr>
            </w:pPr>
            <w:r w:rsidRPr="00C42331">
              <w:rPr>
                <w:color w:val="000000"/>
                <w:sz w:val="16"/>
                <w:szCs w:val="16"/>
              </w:rPr>
              <w:t>67.989.644.800</w:t>
            </w:r>
          </w:p>
        </w:tc>
      </w:tr>
      <w:tr w:rsidR="007A6596" w:rsidRPr="00C42331" w14:paraId="2BA636EE" w14:textId="77777777" w:rsidTr="00C42331">
        <w:trPr>
          <w:trHeight w:val="315"/>
          <w:jc w:val="center"/>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46252D06" w14:textId="77777777" w:rsidR="007A6596" w:rsidRPr="00C42331" w:rsidRDefault="007A6596" w:rsidP="00E66F1C">
            <w:pPr>
              <w:rPr>
                <w:color w:val="000000"/>
                <w:sz w:val="16"/>
                <w:szCs w:val="16"/>
              </w:rPr>
            </w:pPr>
            <w:r w:rsidRPr="00C42331">
              <w:rPr>
                <w:color w:val="000000"/>
                <w:sz w:val="16"/>
                <w:szCs w:val="16"/>
              </w:rPr>
              <w:t>Vigencias Futuras 2025 (**)</w:t>
            </w:r>
          </w:p>
        </w:tc>
        <w:tc>
          <w:tcPr>
            <w:tcW w:w="1985" w:type="dxa"/>
            <w:tcBorders>
              <w:top w:val="nil"/>
              <w:left w:val="nil"/>
              <w:bottom w:val="single" w:sz="4" w:space="0" w:color="auto"/>
              <w:right w:val="single" w:sz="4" w:space="0" w:color="auto"/>
            </w:tcBorders>
            <w:shd w:val="clear" w:color="auto" w:fill="auto"/>
            <w:vAlign w:val="center"/>
            <w:hideMark/>
          </w:tcPr>
          <w:p w14:paraId="1B3D17E6" w14:textId="77777777" w:rsidR="007A6596" w:rsidRPr="00C42331" w:rsidRDefault="007A6596" w:rsidP="00E66F1C">
            <w:pPr>
              <w:jc w:val="right"/>
              <w:rPr>
                <w:color w:val="000000"/>
                <w:sz w:val="16"/>
                <w:szCs w:val="16"/>
              </w:rPr>
            </w:pPr>
            <w:r w:rsidRPr="00C42331">
              <w:rPr>
                <w:color w:val="000000"/>
                <w:sz w:val="16"/>
                <w:szCs w:val="16"/>
              </w:rPr>
              <w:t>100.000.000.000</w:t>
            </w:r>
          </w:p>
        </w:tc>
        <w:tc>
          <w:tcPr>
            <w:tcW w:w="1842" w:type="dxa"/>
            <w:tcBorders>
              <w:top w:val="nil"/>
              <w:left w:val="nil"/>
              <w:bottom w:val="single" w:sz="4" w:space="0" w:color="auto"/>
              <w:right w:val="single" w:sz="4" w:space="0" w:color="auto"/>
            </w:tcBorders>
            <w:shd w:val="clear" w:color="auto" w:fill="auto"/>
            <w:vAlign w:val="center"/>
            <w:hideMark/>
          </w:tcPr>
          <w:p w14:paraId="11CA93E5" w14:textId="664292B1" w:rsidR="007A6596" w:rsidRPr="00C42331" w:rsidRDefault="007A6596" w:rsidP="00E66F1C">
            <w:pPr>
              <w:jc w:val="right"/>
              <w:rPr>
                <w:color w:val="000000"/>
                <w:sz w:val="16"/>
                <w:szCs w:val="16"/>
              </w:rPr>
            </w:pPr>
            <w:r w:rsidRPr="00C42331">
              <w:rPr>
                <w:color w:val="000000"/>
                <w:sz w:val="16"/>
                <w:szCs w:val="16"/>
              </w:rPr>
              <w:t xml:space="preserve">   </w:t>
            </w:r>
            <w:r w:rsidR="003A67CE" w:rsidRPr="003A67CE">
              <w:rPr>
                <w:color w:val="000000"/>
                <w:sz w:val="16"/>
                <w:szCs w:val="16"/>
              </w:rPr>
              <w:t xml:space="preserve"> 30.045.647.872</w:t>
            </w:r>
          </w:p>
        </w:tc>
        <w:tc>
          <w:tcPr>
            <w:tcW w:w="1560" w:type="dxa"/>
            <w:tcBorders>
              <w:top w:val="nil"/>
              <w:left w:val="nil"/>
              <w:bottom w:val="single" w:sz="4" w:space="0" w:color="auto"/>
              <w:right w:val="single" w:sz="4" w:space="0" w:color="auto"/>
            </w:tcBorders>
            <w:shd w:val="clear" w:color="auto" w:fill="auto"/>
            <w:vAlign w:val="center"/>
            <w:hideMark/>
          </w:tcPr>
          <w:p w14:paraId="7EEF44E7" w14:textId="77777777" w:rsidR="003A67CE" w:rsidRPr="003A67CE" w:rsidRDefault="003A67CE" w:rsidP="003A67CE">
            <w:pPr>
              <w:jc w:val="right"/>
              <w:rPr>
                <w:color w:val="000000"/>
                <w:sz w:val="16"/>
                <w:szCs w:val="16"/>
              </w:rPr>
            </w:pPr>
            <w:bookmarkStart w:id="0" w:name="_Hlk204592402"/>
            <w:r w:rsidRPr="003A67CE">
              <w:rPr>
                <w:color w:val="000000"/>
                <w:sz w:val="16"/>
                <w:szCs w:val="16"/>
              </w:rPr>
              <w:t>130.045.647.872</w:t>
            </w:r>
          </w:p>
          <w:bookmarkEnd w:id="0"/>
          <w:p w14:paraId="23987AA8" w14:textId="2D11C0A7" w:rsidR="007A6596" w:rsidRPr="00C42331" w:rsidRDefault="007A6596" w:rsidP="00E66F1C">
            <w:pPr>
              <w:jc w:val="right"/>
              <w:rPr>
                <w:color w:val="000000"/>
                <w:sz w:val="16"/>
                <w:szCs w:val="16"/>
              </w:rPr>
            </w:pPr>
          </w:p>
        </w:tc>
      </w:tr>
      <w:tr w:rsidR="007A6596" w:rsidRPr="00C42331" w14:paraId="59407AB5" w14:textId="77777777" w:rsidTr="00C42331">
        <w:trPr>
          <w:trHeight w:val="315"/>
          <w:jc w:val="center"/>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22960F45" w14:textId="77777777" w:rsidR="007A6596" w:rsidRPr="00C42331" w:rsidRDefault="007A6596" w:rsidP="00E66F1C">
            <w:pPr>
              <w:rPr>
                <w:color w:val="000000"/>
                <w:sz w:val="16"/>
                <w:szCs w:val="16"/>
              </w:rPr>
            </w:pPr>
            <w:r w:rsidRPr="00C42331">
              <w:rPr>
                <w:color w:val="000000"/>
                <w:sz w:val="16"/>
                <w:szCs w:val="16"/>
              </w:rPr>
              <w:lastRenderedPageBreak/>
              <w:t>Vigencias Futuras 2026 (**)</w:t>
            </w:r>
          </w:p>
        </w:tc>
        <w:tc>
          <w:tcPr>
            <w:tcW w:w="1985" w:type="dxa"/>
            <w:tcBorders>
              <w:top w:val="nil"/>
              <w:left w:val="nil"/>
              <w:bottom w:val="single" w:sz="4" w:space="0" w:color="auto"/>
              <w:right w:val="single" w:sz="4" w:space="0" w:color="auto"/>
            </w:tcBorders>
            <w:shd w:val="clear" w:color="auto" w:fill="auto"/>
            <w:vAlign w:val="center"/>
            <w:hideMark/>
          </w:tcPr>
          <w:p w14:paraId="71D4967E" w14:textId="77777777" w:rsidR="007A6596" w:rsidRPr="00C42331" w:rsidRDefault="007A6596" w:rsidP="00E66F1C">
            <w:pPr>
              <w:jc w:val="right"/>
              <w:rPr>
                <w:color w:val="000000"/>
                <w:sz w:val="16"/>
                <w:szCs w:val="16"/>
              </w:rPr>
            </w:pPr>
            <w:r w:rsidRPr="00C42331">
              <w:rPr>
                <w:color w:val="000000"/>
                <w:sz w:val="16"/>
                <w:szCs w:val="16"/>
              </w:rPr>
              <w:t>119.000.000.000</w:t>
            </w:r>
          </w:p>
        </w:tc>
        <w:tc>
          <w:tcPr>
            <w:tcW w:w="1842" w:type="dxa"/>
            <w:tcBorders>
              <w:top w:val="nil"/>
              <w:left w:val="nil"/>
              <w:bottom w:val="single" w:sz="4" w:space="0" w:color="auto"/>
              <w:right w:val="single" w:sz="4" w:space="0" w:color="auto"/>
            </w:tcBorders>
            <w:shd w:val="clear" w:color="auto" w:fill="auto"/>
            <w:vAlign w:val="center"/>
            <w:hideMark/>
          </w:tcPr>
          <w:p w14:paraId="039E441B" w14:textId="77777777" w:rsidR="007A6596" w:rsidRPr="00C42331" w:rsidRDefault="007A6596" w:rsidP="00E66F1C">
            <w:pPr>
              <w:jc w:val="right"/>
              <w:rPr>
                <w:color w:val="000000"/>
                <w:sz w:val="16"/>
                <w:szCs w:val="16"/>
              </w:rPr>
            </w:pPr>
            <w:r w:rsidRPr="00C42331">
              <w:rPr>
                <w:color w:val="000000"/>
                <w:sz w:val="16"/>
                <w:szCs w:val="16"/>
              </w:rPr>
              <w:t xml:space="preserve">   41.199.996.070 </w:t>
            </w:r>
          </w:p>
        </w:tc>
        <w:tc>
          <w:tcPr>
            <w:tcW w:w="1560" w:type="dxa"/>
            <w:tcBorders>
              <w:top w:val="nil"/>
              <w:left w:val="nil"/>
              <w:bottom w:val="single" w:sz="4" w:space="0" w:color="auto"/>
              <w:right w:val="single" w:sz="4" w:space="0" w:color="auto"/>
            </w:tcBorders>
            <w:shd w:val="clear" w:color="auto" w:fill="auto"/>
            <w:vAlign w:val="center"/>
            <w:hideMark/>
          </w:tcPr>
          <w:p w14:paraId="69A77BAD" w14:textId="77777777" w:rsidR="007A6596" w:rsidRPr="00C42331" w:rsidRDefault="007A6596" w:rsidP="00E66F1C">
            <w:pPr>
              <w:jc w:val="right"/>
              <w:rPr>
                <w:color w:val="000000"/>
                <w:sz w:val="16"/>
                <w:szCs w:val="16"/>
              </w:rPr>
            </w:pPr>
            <w:r w:rsidRPr="00C42331">
              <w:rPr>
                <w:color w:val="000000"/>
                <w:sz w:val="16"/>
                <w:szCs w:val="16"/>
              </w:rPr>
              <w:t xml:space="preserve">  160.199.996.070 </w:t>
            </w:r>
          </w:p>
        </w:tc>
      </w:tr>
      <w:tr w:rsidR="007A6596" w:rsidRPr="00C42331" w14:paraId="74D9ABAC" w14:textId="77777777" w:rsidTr="00C42331">
        <w:trPr>
          <w:trHeight w:val="315"/>
          <w:jc w:val="center"/>
        </w:trPr>
        <w:tc>
          <w:tcPr>
            <w:tcW w:w="2410" w:type="dxa"/>
            <w:tcBorders>
              <w:top w:val="nil"/>
              <w:left w:val="single" w:sz="4" w:space="0" w:color="auto"/>
              <w:bottom w:val="single" w:sz="4" w:space="0" w:color="auto"/>
              <w:right w:val="single" w:sz="4" w:space="0" w:color="auto"/>
            </w:tcBorders>
            <w:shd w:val="clear" w:color="000000" w:fill="B4C6E7"/>
            <w:vAlign w:val="center"/>
            <w:hideMark/>
          </w:tcPr>
          <w:p w14:paraId="19B049F2" w14:textId="77777777" w:rsidR="007A6596" w:rsidRPr="00C42331" w:rsidRDefault="007A6596" w:rsidP="00E66F1C">
            <w:pPr>
              <w:rPr>
                <w:b/>
                <w:bCs/>
                <w:color w:val="000000"/>
                <w:sz w:val="16"/>
                <w:szCs w:val="16"/>
              </w:rPr>
            </w:pPr>
            <w:r w:rsidRPr="00C42331">
              <w:rPr>
                <w:b/>
                <w:bCs/>
                <w:color w:val="000000"/>
                <w:sz w:val="16"/>
                <w:szCs w:val="16"/>
              </w:rPr>
              <w:t>Total</w:t>
            </w:r>
          </w:p>
        </w:tc>
        <w:tc>
          <w:tcPr>
            <w:tcW w:w="1985" w:type="dxa"/>
            <w:tcBorders>
              <w:top w:val="nil"/>
              <w:left w:val="nil"/>
              <w:bottom w:val="single" w:sz="4" w:space="0" w:color="auto"/>
              <w:right w:val="single" w:sz="4" w:space="0" w:color="auto"/>
            </w:tcBorders>
            <w:shd w:val="clear" w:color="000000" w:fill="B4C6E7"/>
            <w:vAlign w:val="center"/>
            <w:hideMark/>
          </w:tcPr>
          <w:p w14:paraId="1B119ABD" w14:textId="77777777" w:rsidR="007A6596" w:rsidRPr="00C42331" w:rsidRDefault="007A6596" w:rsidP="00E66F1C">
            <w:pPr>
              <w:jc w:val="right"/>
              <w:rPr>
                <w:b/>
                <w:bCs/>
                <w:color w:val="000000"/>
                <w:sz w:val="16"/>
                <w:szCs w:val="16"/>
              </w:rPr>
            </w:pPr>
            <w:r w:rsidRPr="00C42331">
              <w:rPr>
                <w:b/>
                <w:bCs/>
                <w:color w:val="000000"/>
                <w:sz w:val="16"/>
                <w:szCs w:val="16"/>
              </w:rPr>
              <w:t>334.000.000.000</w:t>
            </w:r>
          </w:p>
        </w:tc>
        <w:tc>
          <w:tcPr>
            <w:tcW w:w="1842" w:type="dxa"/>
            <w:tcBorders>
              <w:top w:val="nil"/>
              <w:left w:val="nil"/>
              <w:bottom w:val="single" w:sz="4" w:space="0" w:color="auto"/>
              <w:right w:val="single" w:sz="4" w:space="0" w:color="auto"/>
            </w:tcBorders>
            <w:shd w:val="clear" w:color="000000" w:fill="B4C6E7"/>
            <w:vAlign w:val="center"/>
            <w:hideMark/>
          </w:tcPr>
          <w:p w14:paraId="0D6A05A0" w14:textId="39367274" w:rsidR="007A6596" w:rsidRPr="00C42331" w:rsidRDefault="003A67CE" w:rsidP="00E66F1C">
            <w:pPr>
              <w:jc w:val="right"/>
              <w:rPr>
                <w:b/>
                <w:bCs/>
                <w:color w:val="000000"/>
                <w:sz w:val="16"/>
                <w:szCs w:val="16"/>
              </w:rPr>
            </w:pPr>
            <w:r w:rsidRPr="003A67CE">
              <w:rPr>
                <w:b/>
                <w:bCs/>
                <w:color w:val="000000"/>
                <w:sz w:val="16"/>
                <w:szCs w:val="16"/>
              </w:rPr>
              <w:t>85.547.288.742</w:t>
            </w:r>
          </w:p>
        </w:tc>
        <w:tc>
          <w:tcPr>
            <w:tcW w:w="1560" w:type="dxa"/>
            <w:tcBorders>
              <w:top w:val="nil"/>
              <w:left w:val="nil"/>
              <w:bottom w:val="single" w:sz="4" w:space="0" w:color="auto"/>
              <w:right w:val="single" w:sz="4" w:space="0" w:color="auto"/>
            </w:tcBorders>
            <w:shd w:val="clear" w:color="000000" w:fill="B4C6E7"/>
            <w:vAlign w:val="center"/>
            <w:hideMark/>
          </w:tcPr>
          <w:p w14:paraId="3766911C" w14:textId="634792FE" w:rsidR="007A6596" w:rsidRPr="00C42331" w:rsidRDefault="003A67CE" w:rsidP="00E66F1C">
            <w:pPr>
              <w:jc w:val="right"/>
              <w:rPr>
                <w:b/>
                <w:bCs/>
                <w:color w:val="000000"/>
                <w:sz w:val="16"/>
                <w:szCs w:val="16"/>
              </w:rPr>
            </w:pPr>
            <w:r w:rsidRPr="003A67CE">
              <w:rPr>
                <w:b/>
                <w:bCs/>
                <w:color w:val="000000"/>
                <w:sz w:val="16"/>
                <w:szCs w:val="16"/>
              </w:rPr>
              <w:t>419.547.288.742</w:t>
            </w:r>
          </w:p>
        </w:tc>
      </w:tr>
      <w:tr w:rsidR="007A6596" w:rsidRPr="00C42331" w14:paraId="0D616C92" w14:textId="77777777" w:rsidTr="00C42331">
        <w:trPr>
          <w:trHeight w:val="315"/>
          <w:jc w:val="center"/>
        </w:trPr>
        <w:tc>
          <w:tcPr>
            <w:tcW w:w="6237" w:type="dxa"/>
            <w:gridSpan w:val="3"/>
            <w:tcBorders>
              <w:top w:val="nil"/>
              <w:left w:val="nil"/>
              <w:bottom w:val="nil"/>
              <w:right w:val="nil"/>
            </w:tcBorders>
            <w:shd w:val="clear" w:color="auto" w:fill="auto"/>
            <w:noWrap/>
            <w:vAlign w:val="bottom"/>
            <w:hideMark/>
          </w:tcPr>
          <w:p w14:paraId="5D9BD0C8" w14:textId="77777777" w:rsidR="007A6596" w:rsidRPr="00C42331" w:rsidRDefault="007A6596" w:rsidP="00E66F1C">
            <w:pPr>
              <w:rPr>
                <w:color w:val="000000"/>
                <w:sz w:val="16"/>
                <w:szCs w:val="16"/>
              </w:rPr>
            </w:pPr>
            <w:r w:rsidRPr="00C42331">
              <w:rPr>
                <w:color w:val="000000"/>
                <w:sz w:val="16"/>
                <w:szCs w:val="16"/>
              </w:rPr>
              <w:t xml:space="preserve">(1) Vigencias Futuras ya giradas a la Cuenta de </w:t>
            </w:r>
            <w:proofErr w:type="spellStart"/>
            <w:r w:rsidRPr="00C42331">
              <w:rPr>
                <w:color w:val="000000"/>
                <w:sz w:val="16"/>
                <w:szCs w:val="16"/>
              </w:rPr>
              <w:t>BogotáBio</w:t>
            </w:r>
            <w:proofErr w:type="spellEnd"/>
            <w:r w:rsidRPr="00C42331">
              <w:rPr>
                <w:color w:val="000000"/>
                <w:sz w:val="16"/>
                <w:szCs w:val="16"/>
              </w:rPr>
              <w:t xml:space="preserve"> en la DDT y Capitalizadas</w:t>
            </w:r>
          </w:p>
        </w:tc>
        <w:tc>
          <w:tcPr>
            <w:tcW w:w="1560" w:type="dxa"/>
            <w:tcBorders>
              <w:top w:val="nil"/>
              <w:left w:val="nil"/>
              <w:bottom w:val="nil"/>
              <w:right w:val="nil"/>
            </w:tcBorders>
            <w:shd w:val="clear" w:color="auto" w:fill="auto"/>
            <w:noWrap/>
            <w:vAlign w:val="bottom"/>
            <w:hideMark/>
          </w:tcPr>
          <w:p w14:paraId="3DA566B1" w14:textId="77777777" w:rsidR="007A6596" w:rsidRPr="00C42331" w:rsidRDefault="007A6596" w:rsidP="00E66F1C">
            <w:pPr>
              <w:rPr>
                <w:color w:val="000000"/>
                <w:sz w:val="16"/>
                <w:szCs w:val="16"/>
              </w:rPr>
            </w:pPr>
          </w:p>
        </w:tc>
      </w:tr>
      <w:tr w:rsidR="007A6596" w:rsidRPr="00C42331" w14:paraId="5D85DF4C" w14:textId="77777777" w:rsidTr="00C42331">
        <w:trPr>
          <w:trHeight w:val="315"/>
          <w:jc w:val="center"/>
        </w:trPr>
        <w:tc>
          <w:tcPr>
            <w:tcW w:w="2410" w:type="dxa"/>
            <w:tcBorders>
              <w:top w:val="nil"/>
              <w:left w:val="nil"/>
              <w:bottom w:val="nil"/>
              <w:right w:val="nil"/>
            </w:tcBorders>
            <w:shd w:val="clear" w:color="auto" w:fill="auto"/>
            <w:noWrap/>
            <w:vAlign w:val="bottom"/>
            <w:hideMark/>
          </w:tcPr>
          <w:p w14:paraId="6D8ECF77" w14:textId="77777777" w:rsidR="007A6596" w:rsidRPr="00C42331" w:rsidRDefault="007A6596" w:rsidP="00E66F1C">
            <w:pPr>
              <w:rPr>
                <w:color w:val="000000"/>
                <w:sz w:val="16"/>
                <w:szCs w:val="16"/>
              </w:rPr>
            </w:pPr>
            <w:r w:rsidRPr="00C42331">
              <w:rPr>
                <w:color w:val="000000"/>
                <w:sz w:val="16"/>
                <w:szCs w:val="16"/>
              </w:rPr>
              <w:t>(**) Indexación estimada</w:t>
            </w:r>
          </w:p>
        </w:tc>
        <w:tc>
          <w:tcPr>
            <w:tcW w:w="1985" w:type="dxa"/>
            <w:tcBorders>
              <w:top w:val="nil"/>
              <w:left w:val="nil"/>
              <w:bottom w:val="nil"/>
              <w:right w:val="nil"/>
            </w:tcBorders>
            <w:shd w:val="clear" w:color="auto" w:fill="auto"/>
            <w:noWrap/>
            <w:vAlign w:val="bottom"/>
            <w:hideMark/>
          </w:tcPr>
          <w:p w14:paraId="1AB9EB70" w14:textId="77777777" w:rsidR="007A6596" w:rsidRPr="00C42331" w:rsidRDefault="007A6596" w:rsidP="00E66F1C">
            <w:pPr>
              <w:rPr>
                <w:color w:val="000000"/>
                <w:sz w:val="16"/>
                <w:szCs w:val="16"/>
              </w:rPr>
            </w:pPr>
          </w:p>
        </w:tc>
        <w:tc>
          <w:tcPr>
            <w:tcW w:w="1842" w:type="dxa"/>
            <w:tcBorders>
              <w:top w:val="nil"/>
              <w:left w:val="nil"/>
              <w:bottom w:val="nil"/>
              <w:right w:val="nil"/>
            </w:tcBorders>
            <w:shd w:val="clear" w:color="auto" w:fill="auto"/>
            <w:noWrap/>
            <w:vAlign w:val="bottom"/>
            <w:hideMark/>
          </w:tcPr>
          <w:p w14:paraId="6989EE0B" w14:textId="77777777" w:rsidR="007A6596" w:rsidRPr="00C42331" w:rsidRDefault="007A6596" w:rsidP="00E66F1C">
            <w:pPr>
              <w:rPr>
                <w:sz w:val="16"/>
                <w:szCs w:val="16"/>
              </w:rPr>
            </w:pPr>
          </w:p>
        </w:tc>
        <w:tc>
          <w:tcPr>
            <w:tcW w:w="1560" w:type="dxa"/>
            <w:tcBorders>
              <w:top w:val="nil"/>
              <w:left w:val="nil"/>
              <w:bottom w:val="nil"/>
              <w:right w:val="nil"/>
            </w:tcBorders>
            <w:shd w:val="clear" w:color="auto" w:fill="auto"/>
            <w:noWrap/>
            <w:vAlign w:val="bottom"/>
            <w:hideMark/>
          </w:tcPr>
          <w:p w14:paraId="6B7E0B56" w14:textId="77777777" w:rsidR="007A6596" w:rsidRPr="00C42331" w:rsidRDefault="007A6596" w:rsidP="00E66F1C">
            <w:pPr>
              <w:rPr>
                <w:sz w:val="16"/>
                <w:szCs w:val="16"/>
              </w:rPr>
            </w:pPr>
          </w:p>
        </w:tc>
      </w:tr>
    </w:tbl>
    <w:p w14:paraId="73D44697" w14:textId="77777777" w:rsidR="007A6596" w:rsidRPr="007A6596" w:rsidRDefault="007A6596" w:rsidP="007A6596">
      <w:pPr>
        <w:rPr>
          <w:color w:val="0070C0"/>
          <w:sz w:val="22"/>
          <w:szCs w:val="22"/>
        </w:rPr>
      </w:pPr>
    </w:p>
    <w:p w14:paraId="226AF934" w14:textId="25BB3CCE" w:rsidR="007A6596" w:rsidRPr="007A6596" w:rsidRDefault="007A6596" w:rsidP="007A6596">
      <w:pPr>
        <w:jc w:val="both"/>
        <w:rPr>
          <w:bCs/>
          <w:sz w:val="22"/>
          <w:szCs w:val="22"/>
        </w:rPr>
      </w:pPr>
      <w:r w:rsidRPr="007A6596">
        <w:rPr>
          <w:bCs/>
          <w:sz w:val="22"/>
          <w:szCs w:val="22"/>
        </w:rPr>
        <w:t xml:space="preserve">Para la vigencia 2025, se programó dentro del proyecto de inversión 7919, el presupuesto para la vigencia futura por un valor de $ 100.000.000.000 y la indexación de $ </w:t>
      </w:r>
      <w:r w:rsidR="003A67CE" w:rsidRPr="003A67CE">
        <w:rPr>
          <w:bCs/>
          <w:sz w:val="22"/>
          <w:szCs w:val="22"/>
        </w:rPr>
        <w:t xml:space="preserve">    30.045.647.872</w:t>
      </w:r>
      <w:r w:rsidR="003A67CE">
        <w:rPr>
          <w:bCs/>
          <w:sz w:val="22"/>
          <w:szCs w:val="22"/>
        </w:rPr>
        <w:t xml:space="preserve"> </w:t>
      </w:r>
      <w:r w:rsidRPr="007A6596">
        <w:rPr>
          <w:bCs/>
          <w:sz w:val="22"/>
          <w:szCs w:val="22"/>
        </w:rPr>
        <w:t xml:space="preserve">para un total de $ </w:t>
      </w:r>
      <w:r w:rsidR="003A67CE" w:rsidRPr="003A67CE">
        <w:rPr>
          <w:bCs/>
          <w:sz w:val="22"/>
          <w:szCs w:val="22"/>
        </w:rPr>
        <w:t>130.045.647.872</w:t>
      </w:r>
      <w:r w:rsidR="003A67CE">
        <w:rPr>
          <w:bCs/>
          <w:sz w:val="22"/>
          <w:szCs w:val="22"/>
        </w:rPr>
        <w:t xml:space="preserve"> </w:t>
      </w:r>
      <w:r w:rsidRPr="007A6596">
        <w:rPr>
          <w:bCs/>
          <w:sz w:val="22"/>
          <w:szCs w:val="22"/>
        </w:rPr>
        <w:t>que debía ser transferidos a ATENEA de acuerdo con lo establecido en el convenio No. CO1.PCCNTR.4342426 de 2022. Sin embargo, la cuota asignada en el Marco Fiscal de Mediano Plazo para la vigencia 2025, fue de $ 127.269.835.000 para el proyecto de inversión 7919 para cubrir la vigencia futura, la indexación y el costo de los contratos de prestaciones de servicios requeridos para el seguimiento del proyecto de inversión.</w:t>
      </w:r>
    </w:p>
    <w:p w14:paraId="7CE70678" w14:textId="77777777" w:rsidR="007A6596" w:rsidRPr="007A6596" w:rsidRDefault="007A6596" w:rsidP="007A6596">
      <w:pPr>
        <w:jc w:val="both"/>
        <w:rPr>
          <w:bCs/>
          <w:sz w:val="22"/>
          <w:szCs w:val="22"/>
        </w:rPr>
      </w:pPr>
    </w:p>
    <w:p w14:paraId="45F02DD8" w14:textId="77777777" w:rsidR="007A6596" w:rsidRPr="007A6596" w:rsidRDefault="007A6596" w:rsidP="007A6596">
      <w:pPr>
        <w:jc w:val="both"/>
        <w:rPr>
          <w:sz w:val="22"/>
          <w:szCs w:val="22"/>
        </w:rPr>
      </w:pPr>
      <w:r w:rsidRPr="007A6596">
        <w:rPr>
          <w:sz w:val="22"/>
          <w:szCs w:val="22"/>
        </w:rPr>
        <w:t>Este presupuesto se requiere para la ejecución de la meta No. 4</w:t>
      </w:r>
      <w:r w:rsidRPr="007A6596">
        <w:rPr>
          <w:i/>
          <w:iCs/>
          <w:sz w:val="22"/>
          <w:szCs w:val="22"/>
        </w:rPr>
        <w:t xml:space="preserve"> “Avanzar en el 100% del cronograma establecido para la producción y generación de biológicos (envasado y llenado) en Bogotá D.C para contribuir a la soberanía sanitaria” </w:t>
      </w:r>
      <w:r w:rsidRPr="007A6596">
        <w:rPr>
          <w:sz w:val="22"/>
          <w:szCs w:val="22"/>
        </w:rPr>
        <w:t xml:space="preserve">sobre la actividad </w:t>
      </w:r>
      <w:r w:rsidRPr="007A6596">
        <w:rPr>
          <w:i/>
          <w:iCs/>
          <w:sz w:val="22"/>
          <w:szCs w:val="22"/>
        </w:rPr>
        <w:t>“Elaborar y desarrollar el cronograma establecido para la producción y generación de biológicos (envasado y llenado) en Bogotá D.C para contribuir a la soberanía sanitaria.”</w:t>
      </w:r>
      <w:r w:rsidRPr="007A6596">
        <w:rPr>
          <w:sz w:val="22"/>
          <w:szCs w:val="22"/>
        </w:rPr>
        <w:t xml:space="preserve"> Con lo cual se avanzará en la vigencia 2025 en la conformación del vehículo, que permitirá el desarrollo del componente de “recursos” establecido en la Política de actores de ciencia, tecnología e innovación. Este componente está enfocado en las instalaciones, laboratorio y equipamiento especializado, para la investigación y desarrollo; conformando así, el conjunto de medios técnicos necesarios para el desarrollo de actividades de Ciencia, Tecnología e Innovación. </w:t>
      </w:r>
    </w:p>
    <w:p w14:paraId="2A1B81E0" w14:textId="77777777" w:rsidR="007A6596" w:rsidRPr="007A6596" w:rsidRDefault="007A6596" w:rsidP="007A6596">
      <w:pPr>
        <w:jc w:val="both"/>
        <w:rPr>
          <w:sz w:val="22"/>
          <w:szCs w:val="22"/>
        </w:rPr>
      </w:pPr>
    </w:p>
    <w:p w14:paraId="7C523002" w14:textId="33080B37" w:rsidR="007A6596" w:rsidRPr="00231B42" w:rsidRDefault="007A6596" w:rsidP="007A6596">
      <w:pPr>
        <w:tabs>
          <w:tab w:val="left" w:pos="8097"/>
        </w:tabs>
        <w:jc w:val="both"/>
        <w:rPr>
          <w:color w:val="232323"/>
          <w:sz w:val="20"/>
          <w:szCs w:val="20"/>
        </w:rPr>
      </w:pPr>
      <w:r w:rsidRPr="007A6596">
        <w:rPr>
          <w:bCs/>
          <w:color w:val="000000"/>
          <w:sz w:val="22"/>
          <w:szCs w:val="22"/>
          <w:bdr w:val="none" w:sz="0" w:space="0" w:color="auto" w:frame="1"/>
        </w:rPr>
        <w:t>En conclusión, l</w:t>
      </w:r>
      <w:r w:rsidRPr="007A6596">
        <w:rPr>
          <w:rFonts w:eastAsia="Times New Roman"/>
          <w:bCs/>
          <w:color w:val="000000"/>
          <w:sz w:val="22"/>
          <w:szCs w:val="22"/>
          <w:bdr w:val="none" w:sz="0" w:space="0" w:color="auto" w:frame="1"/>
        </w:rPr>
        <w:t xml:space="preserve">os recursos de los cuales se va a disponer para el traslado presupuestal el proyecto de inversión 7919 </w:t>
      </w:r>
      <w:r w:rsidRPr="007A6596">
        <w:rPr>
          <w:bCs/>
          <w:color w:val="000000"/>
          <w:sz w:val="22"/>
          <w:szCs w:val="22"/>
          <w:bdr w:val="none" w:sz="0" w:space="0" w:color="auto" w:frame="1"/>
        </w:rPr>
        <w:t xml:space="preserve">por un valor de </w:t>
      </w:r>
      <w:r w:rsidR="003A67CE" w:rsidRPr="003A67CE">
        <w:rPr>
          <w:bCs/>
          <w:color w:val="000000"/>
          <w:sz w:val="22"/>
          <w:szCs w:val="22"/>
          <w:bdr w:val="none" w:sz="0" w:space="0" w:color="auto" w:frame="1"/>
        </w:rPr>
        <w:t>$ 2.968.301.871</w:t>
      </w:r>
      <w:r w:rsidRPr="007A6596">
        <w:rPr>
          <w:bCs/>
          <w:color w:val="000000"/>
          <w:sz w:val="22"/>
          <w:szCs w:val="22"/>
          <w:bdr w:val="none" w:sz="0" w:space="0" w:color="auto" w:frame="1"/>
        </w:rPr>
        <w:t xml:space="preserve">, </w:t>
      </w:r>
      <w:r w:rsidRPr="007A6596">
        <w:rPr>
          <w:rFonts w:eastAsia="Times New Roman"/>
          <w:bCs/>
          <w:color w:val="000000"/>
          <w:sz w:val="22"/>
          <w:szCs w:val="22"/>
          <w:bdr w:val="none" w:sz="0" w:space="0" w:color="auto" w:frame="1"/>
        </w:rPr>
        <w:t>corresponden a la indexación de la vigencia 202</w:t>
      </w:r>
      <w:r w:rsidRPr="007A6596">
        <w:rPr>
          <w:bCs/>
          <w:color w:val="000000"/>
          <w:sz w:val="22"/>
          <w:szCs w:val="22"/>
          <w:bdr w:val="none" w:sz="0" w:space="0" w:color="auto" w:frame="1"/>
        </w:rPr>
        <w:t>5</w:t>
      </w:r>
      <w:r w:rsidRPr="007A6596">
        <w:rPr>
          <w:rFonts w:eastAsia="Times New Roman"/>
          <w:bCs/>
          <w:color w:val="000000"/>
          <w:sz w:val="22"/>
          <w:szCs w:val="22"/>
          <w:bdr w:val="none" w:sz="0" w:space="0" w:color="auto" w:frame="1"/>
        </w:rPr>
        <w:t xml:space="preserve"> de las vigencias futuras, aprobadas para este proyecto de inversión, los cuales están programados para comprometer en el segundo semestre del año en curso, aportando a la correcta ejecución de la meta de </w:t>
      </w:r>
      <w:r w:rsidRPr="007A6596">
        <w:rPr>
          <w:sz w:val="22"/>
          <w:szCs w:val="22"/>
          <w:lang w:val="es-ES" w:eastAsia="x-none"/>
        </w:rPr>
        <w:t>plan de desarrollo “Bogotá Camina Segura”.</w:t>
      </w:r>
    </w:p>
    <w:p w14:paraId="48713A7F" w14:textId="77777777" w:rsidR="007A6596" w:rsidRDefault="007A6596" w:rsidP="00636E5F">
      <w:pPr>
        <w:jc w:val="both"/>
        <w:rPr>
          <w:sz w:val="22"/>
          <w:szCs w:val="22"/>
          <w:lang w:val="es-ES" w:eastAsia="x-none"/>
        </w:rPr>
      </w:pPr>
    </w:p>
    <w:p w14:paraId="0919DB01" w14:textId="72DA1296" w:rsidR="00636E5F" w:rsidRDefault="00636E5F" w:rsidP="00636E5F">
      <w:pPr>
        <w:jc w:val="both"/>
        <w:rPr>
          <w:sz w:val="22"/>
          <w:szCs w:val="22"/>
          <w:lang w:val="es-ES" w:eastAsia="x-none"/>
        </w:rPr>
      </w:pPr>
      <w:r>
        <w:rPr>
          <w:sz w:val="22"/>
          <w:szCs w:val="22"/>
          <w:lang w:val="es-ES" w:eastAsia="x-none"/>
        </w:rPr>
        <w:t>A continuación, se relaciona el detalle de la modificación entre auxiliares</w:t>
      </w:r>
      <w:r w:rsidR="008B5BC1">
        <w:rPr>
          <w:sz w:val="22"/>
          <w:szCs w:val="22"/>
          <w:lang w:val="es-ES" w:eastAsia="x-none"/>
        </w:rPr>
        <w:t xml:space="preserve"> y traslado </w:t>
      </w:r>
      <w:r w:rsidR="003A67CE">
        <w:rPr>
          <w:sz w:val="22"/>
          <w:szCs w:val="22"/>
          <w:lang w:val="es-ES" w:eastAsia="x-none"/>
        </w:rPr>
        <w:t>presupuestal</w:t>
      </w:r>
      <w:r>
        <w:rPr>
          <w:sz w:val="22"/>
          <w:szCs w:val="22"/>
          <w:lang w:val="es-ES" w:eastAsia="x-none"/>
        </w:rPr>
        <w:t>.</w:t>
      </w:r>
    </w:p>
    <w:p w14:paraId="7C4AEA70" w14:textId="77777777" w:rsidR="007611C5" w:rsidRDefault="007611C5" w:rsidP="00636E5F">
      <w:pPr>
        <w:jc w:val="both"/>
        <w:rPr>
          <w:sz w:val="22"/>
          <w:szCs w:val="22"/>
          <w:lang w:val="es-ES" w:eastAsia="x-none"/>
        </w:rPr>
      </w:pPr>
    </w:p>
    <w:tbl>
      <w:tblPr>
        <w:tblW w:w="886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63"/>
        <w:gridCol w:w="861"/>
        <w:gridCol w:w="727"/>
        <w:gridCol w:w="1849"/>
        <w:gridCol w:w="505"/>
        <w:gridCol w:w="861"/>
        <w:gridCol w:w="1327"/>
        <w:gridCol w:w="55"/>
        <w:gridCol w:w="1221"/>
      </w:tblGrid>
      <w:tr w:rsidR="008B5BC1" w14:paraId="1A73742F" w14:textId="77777777" w:rsidTr="00E66F1C">
        <w:trPr>
          <w:trHeight w:val="135"/>
          <w:tblHeader/>
        </w:trPr>
        <w:tc>
          <w:tcPr>
            <w:tcW w:w="8869" w:type="dxa"/>
            <w:gridSpan w:val="9"/>
            <w:shd w:val="clear" w:color="auto" w:fill="D9D9D9"/>
            <w:noWrap/>
            <w:vAlign w:val="center"/>
            <w:hideMark/>
          </w:tcPr>
          <w:p w14:paraId="315163EE" w14:textId="77777777" w:rsidR="008B5BC1" w:rsidRDefault="008B5BC1" w:rsidP="00E66F1C">
            <w:pPr>
              <w:jc w:val="center"/>
              <w:rPr>
                <w:rFonts w:eastAsia="Times New Roman"/>
                <w:color w:val="000000"/>
                <w:sz w:val="16"/>
                <w:szCs w:val="16"/>
              </w:rPr>
            </w:pPr>
            <w:r>
              <w:rPr>
                <w:rFonts w:eastAsia="Times New Roman"/>
                <w:b/>
                <w:bCs/>
                <w:color w:val="000000"/>
                <w:sz w:val="16"/>
                <w:szCs w:val="16"/>
              </w:rPr>
              <w:t>Traslado presupuestal interno - modificación entre AUXILIARES del mismo MGA Y POSPRE</w:t>
            </w:r>
          </w:p>
        </w:tc>
      </w:tr>
      <w:tr w:rsidR="008B5BC1" w14:paraId="2DD2B14C" w14:textId="77777777" w:rsidTr="00E66F1C">
        <w:trPr>
          <w:trHeight w:val="135"/>
          <w:tblHeader/>
        </w:trPr>
        <w:tc>
          <w:tcPr>
            <w:tcW w:w="1463" w:type="dxa"/>
            <w:shd w:val="clear" w:color="auto" w:fill="D9D9D9"/>
            <w:noWrap/>
            <w:vAlign w:val="center"/>
            <w:hideMark/>
          </w:tcPr>
          <w:p w14:paraId="5A3CF6EE"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POSPRE</w:t>
            </w:r>
          </w:p>
        </w:tc>
        <w:tc>
          <w:tcPr>
            <w:tcW w:w="861" w:type="dxa"/>
            <w:shd w:val="clear" w:color="auto" w:fill="D9D9D9"/>
            <w:noWrap/>
            <w:vAlign w:val="center"/>
            <w:hideMark/>
          </w:tcPr>
          <w:p w14:paraId="6FD9E9B7"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MGA</w:t>
            </w:r>
          </w:p>
        </w:tc>
        <w:tc>
          <w:tcPr>
            <w:tcW w:w="727" w:type="dxa"/>
            <w:shd w:val="clear" w:color="auto" w:fill="D9D9D9"/>
            <w:noWrap/>
            <w:vAlign w:val="center"/>
            <w:hideMark/>
          </w:tcPr>
          <w:p w14:paraId="15E808D8"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Auxiliar</w:t>
            </w:r>
          </w:p>
        </w:tc>
        <w:tc>
          <w:tcPr>
            <w:tcW w:w="1849" w:type="dxa"/>
            <w:shd w:val="clear" w:color="auto" w:fill="D9D9D9"/>
            <w:noWrap/>
            <w:vAlign w:val="center"/>
            <w:hideMark/>
          </w:tcPr>
          <w:p w14:paraId="01A80796"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Fuente</w:t>
            </w:r>
          </w:p>
        </w:tc>
        <w:tc>
          <w:tcPr>
            <w:tcW w:w="505" w:type="dxa"/>
            <w:shd w:val="clear" w:color="auto" w:fill="D9D9D9"/>
            <w:noWrap/>
            <w:vAlign w:val="center"/>
            <w:hideMark/>
          </w:tcPr>
          <w:p w14:paraId="2637B30D"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Meta</w:t>
            </w:r>
          </w:p>
        </w:tc>
        <w:tc>
          <w:tcPr>
            <w:tcW w:w="861" w:type="dxa"/>
            <w:shd w:val="clear" w:color="auto" w:fill="D9D9D9"/>
            <w:vAlign w:val="center"/>
            <w:hideMark/>
          </w:tcPr>
          <w:p w14:paraId="41DCBDFC"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Actividad</w:t>
            </w:r>
          </w:p>
        </w:tc>
        <w:tc>
          <w:tcPr>
            <w:tcW w:w="1327" w:type="dxa"/>
            <w:shd w:val="clear" w:color="auto" w:fill="D9D9D9"/>
            <w:vAlign w:val="center"/>
            <w:hideMark/>
          </w:tcPr>
          <w:p w14:paraId="4C713DBB"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Crédito</w:t>
            </w:r>
          </w:p>
        </w:tc>
        <w:tc>
          <w:tcPr>
            <w:tcW w:w="1276" w:type="dxa"/>
            <w:gridSpan w:val="2"/>
            <w:shd w:val="clear" w:color="auto" w:fill="D9D9D9"/>
            <w:vAlign w:val="center"/>
            <w:hideMark/>
          </w:tcPr>
          <w:p w14:paraId="2F5A148A" w14:textId="77777777" w:rsidR="008B5BC1" w:rsidRDefault="008B5BC1" w:rsidP="00E66F1C">
            <w:pPr>
              <w:jc w:val="center"/>
              <w:rPr>
                <w:rFonts w:eastAsia="Times New Roman"/>
                <w:b/>
                <w:bCs/>
                <w:color w:val="000000"/>
                <w:sz w:val="16"/>
                <w:szCs w:val="16"/>
              </w:rPr>
            </w:pPr>
            <w:r>
              <w:rPr>
                <w:rFonts w:eastAsia="Times New Roman"/>
                <w:b/>
                <w:bCs/>
                <w:color w:val="000000"/>
                <w:sz w:val="16"/>
                <w:szCs w:val="16"/>
              </w:rPr>
              <w:t>Contra Crédito</w:t>
            </w:r>
          </w:p>
        </w:tc>
      </w:tr>
      <w:tr w:rsidR="008B5BC1" w14:paraId="64683784" w14:textId="77777777" w:rsidTr="00E66F1C">
        <w:trPr>
          <w:trHeight w:val="135"/>
        </w:trPr>
        <w:tc>
          <w:tcPr>
            <w:tcW w:w="1463" w:type="dxa"/>
            <w:noWrap/>
            <w:vAlign w:val="center"/>
          </w:tcPr>
          <w:p w14:paraId="06E88F2C" w14:textId="77777777" w:rsidR="008B5BC1" w:rsidRDefault="008B5BC1" w:rsidP="00E66F1C">
            <w:pPr>
              <w:rPr>
                <w:rFonts w:ascii="Calibri" w:eastAsia="Times New Roman" w:hAnsi="Calibri" w:cs="Calibri"/>
                <w:color w:val="000000"/>
                <w:sz w:val="16"/>
                <w:szCs w:val="16"/>
              </w:rPr>
            </w:pPr>
            <w:r>
              <w:rPr>
                <w:rFonts w:ascii="Calibri" w:eastAsia="Times New Roman" w:hAnsi="Calibri" w:cs="Calibri"/>
                <w:color w:val="000000"/>
                <w:sz w:val="16"/>
                <w:szCs w:val="16"/>
              </w:rPr>
              <w:t>O232020200991122</w:t>
            </w:r>
          </w:p>
        </w:tc>
        <w:tc>
          <w:tcPr>
            <w:tcW w:w="861" w:type="dxa"/>
            <w:noWrap/>
            <w:vAlign w:val="center"/>
          </w:tcPr>
          <w:p w14:paraId="22C9474E" w14:textId="77777777" w:rsidR="008B5BC1" w:rsidRDefault="008B5BC1" w:rsidP="00E66F1C">
            <w:pPr>
              <w:jc w:val="right"/>
              <w:rPr>
                <w:rFonts w:ascii="Calibri" w:eastAsia="Times New Roman" w:hAnsi="Calibri" w:cs="Calibri"/>
                <w:color w:val="000000"/>
                <w:sz w:val="16"/>
                <w:szCs w:val="16"/>
              </w:rPr>
            </w:pPr>
            <w:r w:rsidRPr="00420C1D">
              <w:rPr>
                <w:rFonts w:ascii="Calibri" w:eastAsia="Times New Roman" w:hAnsi="Calibri" w:cs="Calibri"/>
                <w:color w:val="000000"/>
                <w:sz w:val="16"/>
                <w:szCs w:val="16"/>
              </w:rPr>
              <w:t>1905038</w:t>
            </w:r>
          </w:p>
        </w:tc>
        <w:tc>
          <w:tcPr>
            <w:tcW w:w="727" w:type="dxa"/>
            <w:noWrap/>
            <w:vAlign w:val="center"/>
          </w:tcPr>
          <w:p w14:paraId="1EC13748" w14:textId="77777777" w:rsidR="008B5BC1" w:rsidRDefault="008B5BC1" w:rsidP="00E66F1C">
            <w:pPr>
              <w:jc w:val="right"/>
              <w:rPr>
                <w:rFonts w:ascii="Calibri" w:eastAsia="Times New Roman" w:hAnsi="Calibri" w:cs="Calibri"/>
                <w:color w:val="000000"/>
                <w:sz w:val="16"/>
                <w:szCs w:val="16"/>
              </w:rPr>
            </w:pPr>
            <w:r>
              <w:rPr>
                <w:rFonts w:ascii="Calibri" w:eastAsia="Times New Roman" w:hAnsi="Calibri" w:cs="Calibri"/>
                <w:color w:val="000000"/>
                <w:sz w:val="16"/>
                <w:szCs w:val="16"/>
              </w:rPr>
              <w:t>205</w:t>
            </w:r>
          </w:p>
        </w:tc>
        <w:tc>
          <w:tcPr>
            <w:tcW w:w="1849" w:type="dxa"/>
            <w:noWrap/>
            <w:vAlign w:val="center"/>
          </w:tcPr>
          <w:p w14:paraId="7572849E" w14:textId="77777777" w:rsidR="008B5BC1" w:rsidRPr="008038B6" w:rsidRDefault="008B5BC1" w:rsidP="00E66F1C">
            <w:pPr>
              <w:jc w:val="both"/>
              <w:rPr>
                <w:rFonts w:ascii="Calibri" w:eastAsia="Times New Roman" w:hAnsi="Calibri" w:cs="Calibri"/>
                <w:color w:val="000000"/>
                <w:sz w:val="16"/>
                <w:szCs w:val="16"/>
              </w:rPr>
            </w:pPr>
            <w:r>
              <w:rPr>
                <w:rFonts w:ascii="Calibri" w:eastAsia="Times New Roman" w:hAnsi="Calibri" w:cs="Calibri"/>
                <w:color w:val="000000"/>
                <w:sz w:val="16"/>
                <w:szCs w:val="16"/>
              </w:rPr>
              <w:t xml:space="preserve">012 - </w:t>
            </w:r>
            <w:r w:rsidRPr="008038B6">
              <w:rPr>
                <w:rFonts w:ascii="Calibri" w:eastAsia="Times New Roman" w:hAnsi="Calibri" w:cs="Calibri"/>
                <w:color w:val="000000"/>
                <w:sz w:val="16"/>
                <w:szCs w:val="16"/>
              </w:rPr>
              <w:t xml:space="preserve">Aporte Ordinario </w:t>
            </w:r>
          </w:p>
          <w:p w14:paraId="45569BD5" w14:textId="77777777" w:rsidR="008B5BC1" w:rsidRDefault="008B5BC1" w:rsidP="00E66F1C">
            <w:pPr>
              <w:jc w:val="both"/>
              <w:rPr>
                <w:rFonts w:ascii="Calibri" w:eastAsia="Times New Roman" w:hAnsi="Calibri" w:cs="Calibri"/>
                <w:color w:val="000000"/>
                <w:sz w:val="16"/>
                <w:szCs w:val="16"/>
              </w:rPr>
            </w:pPr>
            <w:r w:rsidRPr="008038B6">
              <w:rPr>
                <w:rFonts w:ascii="Calibri" w:eastAsia="Times New Roman" w:hAnsi="Calibri" w:cs="Calibri"/>
                <w:color w:val="000000"/>
                <w:sz w:val="16"/>
                <w:szCs w:val="16"/>
              </w:rPr>
              <w:t>[VF - VACUNAS] Acta 26-2022</w:t>
            </w:r>
          </w:p>
        </w:tc>
        <w:tc>
          <w:tcPr>
            <w:tcW w:w="505" w:type="dxa"/>
            <w:noWrap/>
            <w:vAlign w:val="center"/>
          </w:tcPr>
          <w:p w14:paraId="26A50CBA" w14:textId="77777777" w:rsidR="008B5BC1" w:rsidRDefault="008B5BC1" w:rsidP="00E66F1C">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861" w:type="dxa"/>
            <w:noWrap/>
            <w:vAlign w:val="center"/>
          </w:tcPr>
          <w:p w14:paraId="24E606F3" w14:textId="77777777" w:rsidR="008B5BC1" w:rsidRDefault="008B5BC1" w:rsidP="00E66F1C">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4.1</w:t>
            </w:r>
          </w:p>
        </w:tc>
        <w:tc>
          <w:tcPr>
            <w:tcW w:w="1327" w:type="dxa"/>
            <w:noWrap/>
            <w:vAlign w:val="center"/>
          </w:tcPr>
          <w:p w14:paraId="27A567C7" w14:textId="77777777" w:rsidR="008B5BC1" w:rsidRDefault="008B5BC1" w:rsidP="00E66F1C">
            <w:pPr>
              <w:jc w:val="right"/>
              <w:rPr>
                <w:rFonts w:ascii="Calibri" w:eastAsia="Times New Roman" w:hAnsi="Calibri" w:cs="Calibri"/>
                <w:color w:val="000000"/>
                <w:sz w:val="16"/>
                <w:szCs w:val="16"/>
              </w:rPr>
            </w:pPr>
            <w:r>
              <w:rPr>
                <w:rFonts w:ascii="Calibri" w:eastAsia="Times New Roman" w:hAnsi="Calibri" w:cs="Calibri"/>
                <w:color w:val="000000"/>
                <w:sz w:val="16"/>
                <w:szCs w:val="16"/>
              </w:rPr>
              <w:t xml:space="preserve">$ </w:t>
            </w:r>
            <w:r w:rsidRPr="00420C1D">
              <w:rPr>
                <w:rFonts w:ascii="Calibri" w:eastAsia="Times New Roman" w:hAnsi="Calibri" w:cs="Calibri"/>
                <w:color w:val="000000"/>
                <w:sz w:val="16"/>
                <w:szCs w:val="16"/>
              </w:rPr>
              <w:t>56</w:t>
            </w:r>
            <w:r>
              <w:rPr>
                <w:rFonts w:ascii="Calibri" w:eastAsia="Times New Roman" w:hAnsi="Calibri" w:cs="Calibri"/>
                <w:color w:val="000000"/>
                <w:sz w:val="16"/>
                <w:szCs w:val="16"/>
              </w:rPr>
              <w:t>.</w:t>
            </w:r>
            <w:r w:rsidRPr="00420C1D">
              <w:rPr>
                <w:rFonts w:ascii="Calibri" w:eastAsia="Times New Roman" w:hAnsi="Calibri" w:cs="Calibri"/>
                <w:color w:val="000000"/>
                <w:sz w:val="16"/>
                <w:szCs w:val="16"/>
              </w:rPr>
              <w:t>126</w:t>
            </w:r>
            <w:r>
              <w:rPr>
                <w:rFonts w:ascii="Calibri" w:eastAsia="Times New Roman" w:hAnsi="Calibri" w:cs="Calibri"/>
                <w:color w:val="000000"/>
                <w:sz w:val="16"/>
                <w:szCs w:val="16"/>
              </w:rPr>
              <w:t>.</w:t>
            </w:r>
            <w:r w:rsidRPr="00420C1D">
              <w:rPr>
                <w:rFonts w:ascii="Calibri" w:eastAsia="Times New Roman" w:hAnsi="Calibri" w:cs="Calibri"/>
                <w:color w:val="000000"/>
                <w:sz w:val="16"/>
                <w:szCs w:val="16"/>
              </w:rPr>
              <w:t>929</w:t>
            </w:r>
          </w:p>
        </w:tc>
        <w:tc>
          <w:tcPr>
            <w:tcW w:w="1276" w:type="dxa"/>
            <w:gridSpan w:val="2"/>
            <w:noWrap/>
            <w:vAlign w:val="center"/>
          </w:tcPr>
          <w:p w14:paraId="0F8B0C6C" w14:textId="77777777" w:rsidR="008B5BC1" w:rsidRDefault="008B5BC1" w:rsidP="00E66F1C">
            <w:pPr>
              <w:jc w:val="right"/>
              <w:rPr>
                <w:rFonts w:ascii="Calibri" w:eastAsia="Times New Roman" w:hAnsi="Calibri" w:cs="Calibri"/>
                <w:color w:val="000000"/>
                <w:sz w:val="16"/>
                <w:szCs w:val="16"/>
              </w:rPr>
            </w:pPr>
          </w:p>
        </w:tc>
      </w:tr>
      <w:tr w:rsidR="008B5BC1" w14:paraId="682655E7" w14:textId="77777777" w:rsidTr="00E66F1C">
        <w:trPr>
          <w:trHeight w:val="135"/>
        </w:trPr>
        <w:tc>
          <w:tcPr>
            <w:tcW w:w="1463" w:type="dxa"/>
            <w:noWrap/>
            <w:vAlign w:val="center"/>
          </w:tcPr>
          <w:p w14:paraId="0D26AA35" w14:textId="77777777" w:rsidR="008B5BC1" w:rsidRDefault="008B5BC1" w:rsidP="00E66F1C">
            <w:pPr>
              <w:rPr>
                <w:rFonts w:ascii="Calibri" w:eastAsia="Times New Roman" w:hAnsi="Calibri" w:cs="Calibri"/>
                <w:color w:val="000000"/>
                <w:sz w:val="16"/>
                <w:szCs w:val="16"/>
              </w:rPr>
            </w:pPr>
            <w:r>
              <w:rPr>
                <w:rFonts w:ascii="Calibri" w:eastAsia="Times New Roman" w:hAnsi="Calibri" w:cs="Calibri"/>
                <w:color w:val="000000"/>
                <w:sz w:val="16"/>
                <w:szCs w:val="16"/>
              </w:rPr>
              <w:t>O232020200991122</w:t>
            </w:r>
          </w:p>
        </w:tc>
        <w:tc>
          <w:tcPr>
            <w:tcW w:w="861" w:type="dxa"/>
            <w:noWrap/>
            <w:vAlign w:val="center"/>
          </w:tcPr>
          <w:p w14:paraId="1F5C7245" w14:textId="77777777" w:rsidR="008B5BC1" w:rsidRDefault="008B5BC1" w:rsidP="00E66F1C">
            <w:pPr>
              <w:jc w:val="right"/>
              <w:rPr>
                <w:rFonts w:ascii="Calibri" w:eastAsia="Times New Roman" w:hAnsi="Calibri" w:cs="Calibri"/>
                <w:color w:val="000000"/>
                <w:sz w:val="16"/>
                <w:szCs w:val="16"/>
              </w:rPr>
            </w:pPr>
            <w:r w:rsidRPr="00420C1D">
              <w:rPr>
                <w:rFonts w:ascii="Calibri" w:eastAsia="Times New Roman" w:hAnsi="Calibri" w:cs="Calibri"/>
                <w:color w:val="000000"/>
                <w:sz w:val="16"/>
                <w:szCs w:val="16"/>
              </w:rPr>
              <w:t>1905038</w:t>
            </w:r>
          </w:p>
        </w:tc>
        <w:tc>
          <w:tcPr>
            <w:tcW w:w="727" w:type="dxa"/>
            <w:noWrap/>
            <w:vAlign w:val="center"/>
          </w:tcPr>
          <w:p w14:paraId="389891B1" w14:textId="77777777" w:rsidR="008B5BC1" w:rsidRDefault="008B5BC1" w:rsidP="00E66F1C">
            <w:pPr>
              <w:jc w:val="right"/>
              <w:rPr>
                <w:rFonts w:ascii="Calibri" w:eastAsia="Times New Roman" w:hAnsi="Calibri" w:cs="Calibri"/>
                <w:color w:val="000000"/>
                <w:sz w:val="16"/>
                <w:szCs w:val="16"/>
              </w:rPr>
            </w:pPr>
            <w:r>
              <w:rPr>
                <w:rFonts w:ascii="Calibri" w:eastAsia="Times New Roman" w:hAnsi="Calibri" w:cs="Calibri"/>
                <w:color w:val="000000"/>
                <w:sz w:val="16"/>
                <w:szCs w:val="16"/>
              </w:rPr>
              <w:t>225</w:t>
            </w:r>
          </w:p>
        </w:tc>
        <w:tc>
          <w:tcPr>
            <w:tcW w:w="1849" w:type="dxa"/>
            <w:noWrap/>
            <w:vAlign w:val="center"/>
          </w:tcPr>
          <w:p w14:paraId="5019F7DC" w14:textId="77777777" w:rsidR="008B5BC1" w:rsidRDefault="008B5BC1" w:rsidP="00E66F1C">
            <w:pPr>
              <w:jc w:val="both"/>
              <w:rPr>
                <w:rFonts w:ascii="Calibri" w:eastAsia="Times New Roman" w:hAnsi="Calibri" w:cs="Calibri"/>
                <w:color w:val="000000"/>
                <w:sz w:val="16"/>
                <w:szCs w:val="16"/>
              </w:rPr>
            </w:pPr>
            <w:r>
              <w:rPr>
                <w:rFonts w:ascii="Calibri" w:eastAsia="Times New Roman" w:hAnsi="Calibri" w:cs="Calibri"/>
                <w:color w:val="000000"/>
                <w:sz w:val="16"/>
                <w:szCs w:val="16"/>
              </w:rPr>
              <w:t>012 - Aporte Ordinario [Otros del Distrito Para Comprometer en 2025]</w:t>
            </w:r>
          </w:p>
        </w:tc>
        <w:tc>
          <w:tcPr>
            <w:tcW w:w="505" w:type="dxa"/>
            <w:noWrap/>
            <w:vAlign w:val="center"/>
          </w:tcPr>
          <w:p w14:paraId="0F46947B" w14:textId="77777777" w:rsidR="008B5BC1" w:rsidRDefault="008B5BC1" w:rsidP="00E66F1C">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861" w:type="dxa"/>
            <w:noWrap/>
            <w:vAlign w:val="center"/>
          </w:tcPr>
          <w:p w14:paraId="21BAF931" w14:textId="77777777" w:rsidR="008B5BC1" w:rsidRDefault="008B5BC1" w:rsidP="00E66F1C">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4.2</w:t>
            </w:r>
          </w:p>
        </w:tc>
        <w:tc>
          <w:tcPr>
            <w:tcW w:w="1327" w:type="dxa"/>
            <w:noWrap/>
            <w:vAlign w:val="center"/>
          </w:tcPr>
          <w:p w14:paraId="1CF6A3B8" w14:textId="77777777" w:rsidR="008B5BC1" w:rsidRDefault="008B5BC1" w:rsidP="00E66F1C">
            <w:pPr>
              <w:jc w:val="right"/>
              <w:rPr>
                <w:rFonts w:ascii="Calibri" w:eastAsia="Times New Roman" w:hAnsi="Calibri" w:cs="Calibri"/>
                <w:color w:val="000000"/>
                <w:sz w:val="16"/>
                <w:szCs w:val="16"/>
              </w:rPr>
            </w:pPr>
          </w:p>
        </w:tc>
        <w:tc>
          <w:tcPr>
            <w:tcW w:w="1276" w:type="dxa"/>
            <w:gridSpan w:val="2"/>
            <w:noWrap/>
            <w:vAlign w:val="center"/>
          </w:tcPr>
          <w:p w14:paraId="3CF3984B" w14:textId="77777777" w:rsidR="008B5BC1" w:rsidRDefault="008B5BC1" w:rsidP="00E66F1C">
            <w:pPr>
              <w:jc w:val="right"/>
              <w:rPr>
                <w:rFonts w:ascii="Calibri" w:eastAsia="Times New Roman" w:hAnsi="Calibri" w:cs="Calibri"/>
                <w:color w:val="000000"/>
                <w:sz w:val="16"/>
                <w:szCs w:val="16"/>
              </w:rPr>
            </w:pPr>
            <w:r>
              <w:rPr>
                <w:rFonts w:ascii="Calibri" w:eastAsia="Times New Roman" w:hAnsi="Calibri" w:cs="Calibri"/>
                <w:color w:val="000000"/>
                <w:sz w:val="16"/>
                <w:szCs w:val="16"/>
              </w:rPr>
              <w:t xml:space="preserve"> $ </w:t>
            </w:r>
            <w:r w:rsidRPr="00420C1D">
              <w:rPr>
                <w:rFonts w:ascii="Calibri" w:eastAsia="Times New Roman" w:hAnsi="Calibri" w:cs="Calibri"/>
                <w:color w:val="000000"/>
                <w:sz w:val="16"/>
                <w:szCs w:val="16"/>
              </w:rPr>
              <w:t>56</w:t>
            </w:r>
            <w:r>
              <w:rPr>
                <w:rFonts w:ascii="Calibri" w:eastAsia="Times New Roman" w:hAnsi="Calibri" w:cs="Calibri"/>
                <w:color w:val="000000"/>
                <w:sz w:val="16"/>
                <w:szCs w:val="16"/>
              </w:rPr>
              <w:t>.</w:t>
            </w:r>
            <w:r w:rsidRPr="00420C1D">
              <w:rPr>
                <w:rFonts w:ascii="Calibri" w:eastAsia="Times New Roman" w:hAnsi="Calibri" w:cs="Calibri"/>
                <w:color w:val="000000"/>
                <w:sz w:val="16"/>
                <w:szCs w:val="16"/>
              </w:rPr>
              <w:t>126</w:t>
            </w:r>
            <w:r>
              <w:rPr>
                <w:rFonts w:ascii="Calibri" w:eastAsia="Times New Roman" w:hAnsi="Calibri" w:cs="Calibri"/>
                <w:color w:val="000000"/>
                <w:sz w:val="16"/>
                <w:szCs w:val="16"/>
              </w:rPr>
              <w:t>.</w:t>
            </w:r>
            <w:r w:rsidRPr="00420C1D">
              <w:rPr>
                <w:rFonts w:ascii="Calibri" w:eastAsia="Times New Roman" w:hAnsi="Calibri" w:cs="Calibri"/>
                <w:color w:val="000000"/>
                <w:sz w:val="16"/>
                <w:szCs w:val="16"/>
              </w:rPr>
              <w:t>929</w:t>
            </w:r>
          </w:p>
        </w:tc>
      </w:tr>
      <w:tr w:rsidR="008B5BC1" w14:paraId="6A59483C" w14:textId="77777777" w:rsidTr="00E66F1C">
        <w:trPr>
          <w:trHeight w:val="135"/>
        </w:trPr>
        <w:tc>
          <w:tcPr>
            <w:tcW w:w="6266" w:type="dxa"/>
            <w:gridSpan w:val="6"/>
            <w:shd w:val="clear" w:color="auto" w:fill="D9D9D9"/>
            <w:noWrap/>
            <w:vAlign w:val="center"/>
            <w:hideMark/>
          </w:tcPr>
          <w:p w14:paraId="21BA64E6" w14:textId="77777777" w:rsidR="008B5BC1" w:rsidRDefault="008B5BC1" w:rsidP="00E66F1C">
            <w:pPr>
              <w:jc w:val="center"/>
              <w:rPr>
                <w:rFonts w:ascii="Calibri" w:eastAsia="Times New Roman" w:hAnsi="Calibri" w:cs="Calibri"/>
                <w:color w:val="000000"/>
                <w:sz w:val="16"/>
                <w:szCs w:val="16"/>
              </w:rPr>
            </w:pPr>
            <w:r>
              <w:rPr>
                <w:rFonts w:ascii="Calibri" w:eastAsia="Times New Roman" w:hAnsi="Calibri" w:cs="Calibri"/>
                <w:color w:val="000000"/>
                <w:sz w:val="16"/>
                <w:szCs w:val="16"/>
              </w:rPr>
              <w:t>Total</w:t>
            </w:r>
          </w:p>
        </w:tc>
        <w:tc>
          <w:tcPr>
            <w:tcW w:w="1382" w:type="dxa"/>
            <w:gridSpan w:val="2"/>
            <w:shd w:val="clear" w:color="auto" w:fill="D9D9D9"/>
            <w:hideMark/>
          </w:tcPr>
          <w:p w14:paraId="06BD8734" w14:textId="77777777" w:rsidR="008B5BC1" w:rsidRPr="00420C1D" w:rsidRDefault="008B5BC1" w:rsidP="00E66F1C">
            <w:pPr>
              <w:jc w:val="right"/>
              <w:rPr>
                <w:rFonts w:ascii="Calibri" w:eastAsia="Times New Roman" w:hAnsi="Calibri" w:cs="Calibri"/>
                <w:b/>
                <w:bCs/>
                <w:color w:val="000000"/>
                <w:sz w:val="16"/>
                <w:szCs w:val="16"/>
              </w:rPr>
            </w:pPr>
            <w:r w:rsidRPr="00420C1D">
              <w:rPr>
                <w:rFonts w:ascii="Calibri" w:eastAsia="Times New Roman" w:hAnsi="Calibri" w:cs="Calibri"/>
                <w:b/>
                <w:bCs/>
                <w:color w:val="000000"/>
                <w:sz w:val="16"/>
                <w:szCs w:val="16"/>
              </w:rPr>
              <w:t>$ 56.126.929</w:t>
            </w:r>
          </w:p>
        </w:tc>
        <w:tc>
          <w:tcPr>
            <w:tcW w:w="1221" w:type="dxa"/>
            <w:shd w:val="clear" w:color="auto" w:fill="D9D9D9"/>
            <w:hideMark/>
          </w:tcPr>
          <w:p w14:paraId="2FF8797C" w14:textId="77777777" w:rsidR="008B5BC1" w:rsidRPr="00420C1D" w:rsidRDefault="008B5BC1" w:rsidP="00E66F1C">
            <w:pPr>
              <w:jc w:val="right"/>
              <w:rPr>
                <w:rFonts w:ascii="Calibri" w:eastAsia="Times New Roman" w:hAnsi="Calibri" w:cs="Calibri"/>
                <w:b/>
                <w:bCs/>
                <w:color w:val="000000"/>
                <w:sz w:val="16"/>
                <w:szCs w:val="16"/>
              </w:rPr>
            </w:pPr>
            <w:r w:rsidRPr="00420C1D">
              <w:rPr>
                <w:rFonts w:ascii="Calibri" w:eastAsia="Times New Roman" w:hAnsi="Calibri" w:cs="Calibri"/>
                <w:b/>
                <w:bCs/>
                <w:color w:val="000000"/>
                <w:sz w:val="16"/>
                <w:szCs w:val="16"/>
              </w:rPr>
              <w:t>$ 56.126.929</w:t>
            </w:r>
          </w:p>
        </w:tc>
      </w:tr>
    </w:tbl>
    <w:p w14:paraId="7E351CDB" w14:textId="77777777" w:rsidR="008B5BC1" w:rsidRDefault="008B5BC1" w:rsidP="008B5BC1">
      <w:pPr>
        <w:jc w:val="both"/>
        <w:rPr>
          <w:sz w:val="22"/>
          <w:szCs w:val="22"/>
          <w:lang w:val="es-ES" w:eastAsia="x-none"/>
        </w:rPr>
      </w:pPr>
    </w:p>
    <w:p w14:paraId="56A0EF73" w14:textId="220B93CE" w:rsidR="008B5BC1" w:rsidRPr="00EA14AA" w:rsidRDefault="008B5BC1" w:rsidP="008B5BC1">
      <w:pPr>
        <w:jc w:val="both"/>
        <w:rPr>
          <w:sz w:val="22"/>
          <w:szCs w:val="22"/>
          <w:lang w:val="es-ES" w:eastAsia="x-none"/>
        </w:rPr>
      </w:pPr>
      <w:r>
        <w:rPr>
          <w:sz w:val="22"/>
          <w:szCs w:val="22"/>
          <w:lang w:val="es-ES" w:eastAsia="x-none"/>
        </w:rPr>
        <w:t>Así mismo se recibe un traslado</w:t>
      </w:r>
      <w:r w:rsidR="00A13E5F">
        <w:rPr>
          <w:sz w:val="22"/>
          <w:szCs w:val="22"/>
          <w:lang w:val="es-ES" w:eastAsia="x-none"/>
        </w:rPr>
        <w:t xml:space="preserve"> presupuestal</w:t>
      </w:r>
      <w:r>
        <w:rPr>
          <w:sz w:val="22"/>
          <w:szCs w:val="22"/>
          <w:lang w:val="es-ES" w:eastAsia="x-none"/>
        </w:rPr>
        <w:t xml:space="preserve"> del proyecto 8141 por un valor de </w:t>
      </w:r>
      <w:r w:rsidR="00877A5F" w:rsidRPr="00877A5F">
        <w:rPr>
          <w:sz w:val="22"/>
          <w:szCs w:val="22"/>
          <w:lang w:val="es-ES" w:eastAsia="x-none"/>
        </w:rPr>
        <w:t>$2.968.301.871</w:t>
      </w:r>
      <w:r w:rsidR="00877A5F">
        <w:rPr>
          <w:sz w:val="22"/>
          <w:szCs w:val="22"/>
          <w:lang w:val="es-ES" w:eastAsia="x-none"/>
        </w:rPr>
        <w:t xml:space="preserve">, </w:t>
      </w:r>
      <w:r>
        <w:rPr>
          <w:sz w:val="22"/>
          <w:szCs w:val="22"/>
          <w:lang w:val="es-ES" w:eastAsia="x-none"/>
        </w:rPr>
        <w:t>de la vigencia 2025, tomado del siguiente auxiliar:</w:t>
      </w:r>
    </w:p>
    <w:p w14:paraId="0FC2002A" w14:textId="77777777" w:rsidR="008B5BC1" w:rsidRDefault="008B5BC1" w:rsidP="008B5BC1">
      <w:pPr>
        <w:jc w:val="both"/>
        <w:rPr>
          <w:i/>
          <w:color w:val="808080"/>
          <w:sz w:val="22"/>
          <w:szCs w:val="22"/>
        </w:rPr>
      </w:pPr>
    </w:p>
    <w:tbl>
      <w:tblPr>
        <w:tblW w:w="9116" w:type="dxa"/>
        <w:tblInd w:w="-10" w:type="dxa"/>
        <w:tblCellMar>
          <w:left w:w="70" w:type="dxa"/>
          <w:right w:w="70" w:type="dxa"/>
        </w:tblCellMar>
        <w:tblLook w:val="04A0" w:firstRow="1" w:lastRow="0" w:firstColumn="1" w:lastColumn="0" w:noHBand="0" w:noVBand="1"/>
      </w:tblPr>
      <w:tblGrid>
        <w:gridCol w:w="1642"/>
        <w:gridCol w:w="775"/>
        <w:gridCol w:w="738"/>
        <w:gridCol w:w="2009"/>
        <w:gridCol w:w="507"/>
        <w:gridCol w:w="878"/>
        <w:gridCol w:w="1283"/>
        <w:gridCol w:w="1284"/>
      </w:tblGrid>
      <w:tr w:rsidR="008B5BC1" w:rsidRPr="00B96281" w14:paraId="5C268331" w14:textId="77777777" w:rsidTr="00E66F1C">
        <w:trPr>
          <w:trHeight w:val="173"/>
        </w:trPr>
        <w:tc>
          <w:tcPr>
            <w:tcW w:w="9116" w:type="dxa"/>
            <w:gridSpan w:val="8"/>
            <w:tcBorders>
              <w:top w:val="single" w:sz="8" w:space="0" w:color="auto"/>
              <w:left w:val="single" w:sz="8" w:space="0" w:color="auto"/>
              <w:bottom w:val="single" w:sz="8" w:space="0" w:color="auto"/>
              <w:right w:val="single" w:sz="8" w:space="0" w:color="000000"/>
            </w:tcBorders>
            <w:shd w:val="clear" w:color="auto" w:fill="D9D9D9"/>
            <w:noWrap/>
            <w:vAlign w:val="center"/>
            <w:hideMark/>
          </w:tcPr>
          <w:p w14:paraId="208CFF2F" w14:textId="77777777" w:rsidR="008B5BC1" w:rsidRPr="00B96281" w:rsidRDefault="008B5BC1" w:rsidP="00E66F1C">
            <w:pPr>
              <w:jc w:val="center"/>
              <w:rPr>
                <w:rFonts w:eastAsia="Times New Roman"/>
                <w:color w:val="000000"/>
                <w:sz w:val="16"/>
                <w:szCs w:val="16"/>
              </w:rPr>
            </w:pPr>
            <w:r w:rsidRPr="00B96281">
              <w:rPr>
                <w:rFonts w:eastAsia="Times New Roman"/>
                <w:b/>
                <w:bCs/>
                <w:color w:val="000000"/>
                <w:sz w:val="16"/>
                <w:szCs w:val="16"/>
              </w:rPr>
              <w:t xml:space="preserve">Traslado presupuestal </w:t>
            </w:r>
            <w:r>
              <w:rPr>
                <w:rFonts w:eastAsia="Times New Roman"/>
                <w:b/>
                <w:bCs/>
                <w:color w:val="000000"/>
                <w:sz w:val="16"/>
                <w:szCs w:val="16"/>
              </w:rPr>
              <w:t>del</w:t>
            </w:r>
            <w:r w:rsidRPr="00B96281">
              <w:rPr>
                <w:rFonts w:eastAsia="Times New Roman"/>
                <w:b/>
                <w:bCs/>
                <w:color w:val="000000"/>
                <w:sz w:val="16"/>
                <w:szCs w:val="16"/>
              </w:rPr>
              <w:t xml:space="preserve"> proyecto </w:t>
            </w:r>
            <w:r>
              <w:rPr>
                <w:rFonts w:eastAsia="Times New Roman"/>
                <w:b/>
                <w:bCs/>
                <w:color w:val="000000"/>
                <w:sz w:val="16"/>
                <w:szCs w:val="16"/>
              </w:rPr>
              <w:t>8141</w:t>
            </w:r>
          </w:p>
        </w:tc>
      </w:tr>
      <w:tr w:rsidR="008B5BC1" w:rsidRPr="00B96281" w14:paraId="6A1F6A42" w14:textId="77777777" w:rsidTr="00E66F1C">
        <w:trPr>
          <w:trHeight w:val="173"/>
        </w:trPr>
        <w:tc>
          <w:tcPr>
            <w:tcW w:w="1642" w:type="dxa"/>
            <w:tcBorders>
              <w:top w:val="nil"/>
              <w:left w:val="single" w:sz="8" w:space="0" w:color="auto"/>
              <w:bottom w:val="single" w:sz="8" w:space="0" w:color="auto"/>
              <w:right w:val="single" w:sz="8" w:space="0" w:color="auto"/>
            </w:tcBorders>
            <w:shd w:val="clear" w:color="auto" w:fill="D9D9D9"/>
            <w:noWrap/>
            <w:vAlign w:val="center"/>
            <w:hideMark/>
          </w:tcPr>
          <w:p w14:paraId="4C83D5D4"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SUBPOSPRE</w:t>
            </w:r>
          </w:p>
        </w:tc>
        <w:tc>
          <w:tcPr>
            <w:tcW w:w="775" w:type="dxa"/>
            <w:tcBorders>
              <w:top w:val="nil"/>
              <w:left w:val="nil"/>
              <w:bottom w:val="single" w:sz="8" w:space="0" w:color="auto"/>
              <w:right w:val="single" w:sz="8" w:space="0" w:color="auto"/>
            </w:tcBorders>
            <w:shd w:val="clear" w:color="auto" w:fill="D9D9D9"/>
            <w:noWrap/>
            <w:vAlign w:val="center"/>
            <w:hideMark/>
          </w:tcPr>
          <w:p w14:paraId="78AEF67C"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MGA</w:t>
            </w:r>
          </w:p>
        </w:tc>
        <w:tc>
          <w:tcPr>
            <w:tcW w:w="738" w:type="dxa"/>
            <w:tcBorders>
              <w:top w:val="nil"/>
              <w:left w:val="nil"/>
              <w:bottom w:val="single" w:sz="8" w:space="0" w:color="auto"/>
              <w:right w:val="single" w:sz="8" w:space="0" w:color="auto"/>
            </w:tcBorders>
            <w:shd w:val="clear" w:color="auto" w:fill="D9D9D9"/>
            <w:noWrap/>
            <w:vAlign w:val="center"/>
            <w:hideMark/>
          </w:tcPr>
          <w:p w14:paraId="6B32F665"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Auxiliar</w:t>
            </w:r>
          </w:p>
        </w:tc>
        <w:tc>
          <w:tcPr>
            <w:tcW w:w="2009" w:type="dxa"/>
            <w:tcBorders>
              <w:top w:val="nil"/>
              <w:left w:val="nil"/>
              <w:bottom w:val="single" w:sz="8" w:space="0" w:color="auto"/>
              <w:right w:val="single" w:sz="8" w:space="0" w:color="auto"/>
            </w:tcBorders>
            <w:shd w:val="clear" w:color="auto" w:fill="D9D9D9"/>
            <w:noWrap/>
            <w:vAlign w:val="center"/>
            <w:hideMark/>
          </w:tcPr>
          <w:p w14:paraId="1D236A91"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Fuente</w:t>
            </w:r>
          </w:p>
        </w:tc>
        <w:tc>
          <w:tcPr>
            <w:tcW w:w="507" w:type="dxa"/>
            <w:tcBorders>
              <w:top w:val="nil"/>
              <w:left w:val="nil"/>
              <w:bottom w:val="single" w:sz="8" w:space="0" w:color="auto"/>
              <w:right w:val="single" w:sz="8" w:space="0" w:color="auto"/>
            </w:tcBorders>
            <w:shd w:val="clear" w:color="auto" w:fill="D9D9D9"/>
            <w:noWrap/>
            <w:vAlign w:val="center"/>
            <w:hideMark/>
          </w:tcPr>
          <w:p w14:paraId="72BC0979"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Meta</w:t>
            </w:r>
          </w:p>
        </w:tc>
        <w:tc>
          <w:tcPr>
            <w:tcW w:w="876" w:type="dxa"/>
            <w:tcBorders>
              <w:top w:val="nil"/>
              <w:left w:val="nil"/>
              <w:bottom w:val="single" w:sz="8" w:space="0" w:color="auto"/>
              <w:right w:val="single" w:sz="8" w:space="0" w:color="auto"/>
            </w:tcBorders>
            <w:shd w:val="clear" w:color="auto" w:fill="D9D9D9"/>
            <w:vAlign w:val="center"/>
            <w:hideMark/>
          </w:tcPr>
          <w:p w14:paraId="32C46E21"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Actividad</w:t>
            </w:r>
          </w:p>
        </w:tc>
        <w:tc>
          <w:tcPr>
            <w:tcW w:w="1283" w:type="dxa"/>
            <w:tcBorders>
              <w:top w:val="nil"/>
              <w:left w:val="nil"/>
              <w:bottom w:val="single" w:sz="8" w:space="0" w:color="auto"/>
              <w:right w:val="single" w:sz="8" w:space="0" w:color="auto"/>
            </w:tcBorders>
            <w:shd w:val="clear" w:color="auto" w:fill="D9D9D9"/>
            <w:vAlign w:val="center"/>
            <w:hideMark/>
          </w:tcPr>
          <w:p w14:paraId="34C1B58A"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Crédito</w:t>
            </w:r>
          </w:p>
        </w:tc>
        <w:tc>
          <w:tcPr>
            <w:tcW w:w="1283" w:type="dxa"/>
            <w:tcBorders>
              <w:top w:val="nil"/>
              <w:left w:val="nil"/>
              <w:bottom w:val="single" w:sz="8" w:space="0" w:color="auto"/>
              <w:right w:val="single" w:sz="8" w:space="0" w:color="auto"/>
            </w:tcBorders>
            <w:shd w:val="clear" w:color="auto" w:fill="D9D9D9"/>
            <w:vAlign w:val="center"/>
            <w:hideMark/>
          </w:tcPr>
          <w:p w14:paraId="065E48E7" w14:textId="77777777" w:rsidR="008B5BC1" w:rsidRPr="00B96281" w:rsidRDefault="008B5BC1" w:rsidP="00E66F1C">
            <w:pPr>
              <w:jc w:val="center"/>
              <w:rPr>
                <w:rFonts w:eastAsia="Times New Roman"/>
                <w:b/>
                <w:bCs/>
                <w:color w:val="000000"/>
                <w:sz w:val="16"/>
                <w:szCs w:val="16"/>
              </w:rPr>
            </w:pPr>
            <w:r w:rsidRPr="00B96281">
              <w:rPr>
                <w:rFonts w:eastAsia="Times New Roman"/>
                <w:b/>
                <w:bCs/>
                <w:color w:val="000000"/>
                <w:sz w:val="16"/>
                <w:szCs w:val="16"/>
              </w:rPr>
              <w:t>Contra Crédito</w:t>
            </w:r>
          </w:p>
        </w:tc>
      </w:tr>
      <w:tr w:rsidR="008B5BC1" w:rsidRPr="00B96281" w14:paraId="12671948" w14:textId="77777777" w:rsidTr="00E66F1C">
        <w:trPr>
          <w:trHeight w:val="173"/>
        </w:trPr>
        <w:tc>
          <w:tcPr>
            <w:tcW w:w="1642" w:type="dxa"/>
            <w:tcBorders>
              <w:top w:val="nil"/>
              <w:left w:val="single" w:sz="8" w:space="0" w:color="auto"/>
              <w:bottom w:val="single" w:sz="8" w:space="0" w:color="auto"/>
              <w:right w:val="single" w:sz="8" w:space="0" w:color="auto"/>
            </w:tcBorders>
            <w:noWrap/>
            <w:vAlign w:val="center"/>
            <w:hideMark/>
          </w:tcPr>
          <w:p w14:paraId="523C437C" w14:textId="77777777" w:rsidR="008B5BC1" w:rsidRPr="00B96281" w:rsidRDefault="008B5BC1" w:rsidP="00E66F1C">
            <w:pPr>
              <w:rPr>
                <w:rFonts w:eastAsia="Times New Roman"/>
                <w:color w:val="000000"/>
                <w:sz w:val="16"/>
                <w:szCs w:val="16"/>
              </w:rPr>
            </w:pPr>
            <w:r w:rsidRPr="00B96281">
              <w:rPr>
                <w:rFonts w:eastAsia="Times New Roman"/>
                <w:color w:val="000000"/>
                <w:sz w:val="16"/>
                <w:szCs w:val="16"/>
              </w:rPr>
              <w:t>O232020200991122</w:t>
            </w:r>
          </w:p>
        </w:tc>
        <w:tc>
          <w:tcPr>
            <w:tcW w:w="775" w:type="dxa"/>
            <w:tcBorders>
              <w:top w:val="nil"/>
              <w:left w:val="nil"/>
              <w:bottom w:val="single" w:sz="8" w:space="0" w:color="auto"/>
              <w:right w:val="single" w:sz="8" w:space="0" w:color="auto"/>
            </w:tcBorders>
            <w:noWrap/>
            <w:vAlign w:val="center"/>
            <w:hideMark/>
          </w:tcPr>
          <w:p w14:paraId="6CF5E042" w14:textId="77777777" w:rsidR="008B5BC1" w:rsidRPr="00B96281" w:rsidRDefault="008B5BC1" w:rsidP="00E66F1C">
            <w:pPr>
              <w:jc w:val="right"/>
              <w:rPr>
                <w:rFonts w:eastAsia="Times New Roman"/>
                <w:color w:val="000000"/>
                <w:sz w:val="16"/>
                <w:szCs w:val="16"/>
              </w:rPr>
            </w:pPr>
            <w:r w:rsidRPr="00420C1D">
              <w:rPr>
                <w:rFonts w:eastAsia="Times New Roman"/>
                <w:color w:val="000000"/>
                <w:sz w:val="16"/>
                <w:szCs w:val="16"/>
              </w:rPr>
              <w:t>1905038</w:t>
            </w:r>
          </w:p>
        </w:tc>
        <w:tc>
          <w:tcPr>
            <w:tcW w:w="738" w:type="dxa"/>
            <w:tcBorders>
              <w:top w:val="nil"/>
              <w:left w:val="nil"/>
              <w:bottom w:val="single" w:sz="8" w:space="0" w:color="auto"/>
              <w:right w:val="single" w:sz="8" w:space="0" w:color="auto"/>
            </w:tcBorders>
            <w:noWrap/>
            <w:vAlign w:val="center"/>
            <w:hideMark/>
          </w:tcPr>
          <w:p w14:paraId="2FA9399E" w14:textId="77777777" w:rsidR="008B5BC1" w:rsidRPr="00B96281" w:rsidRDefault="008B5BC1" w:rsidP="00E66F1C">
            <w:pPr>
              <w:jc w:val="right"/>
              <w:rPr>
                <w:rFonts w:eastAsia="Times New Roman"/>
                <w:color w:val="000000"/>
                <w:sz w:val="16"/>
                <w:szCs w:val="16"/>
              </w:rPr>
            </w:pPr>
            <w:r w:rsidRPr="00B96281">
              <w:rPr>
                <w:rFonts w:eastAsia="Times New Roman"/>
                <w:color w:val="000000"/>
                <w:sz w:val="16"/>
                <w:szCs w:val="16"/>
              </w:rPr>
              <w:t>205</w:t>
            </w:r>
          </w:p>
        </w:tc>
        <w:tc>
          <w:tcPr>
            <w:tcW w:w="2009" w:type="dxa"/>
            <w:tcBorders>
              <w:top w:val="nil"/>
              <w:left w:val="nil"/>
              <w:bottom w:val="single" w:sz="8" w:space="0" w:color="auto"/>
              <w:right w:val="single" w:sz="8" w:space="0" w:color="auto"/>
            </w:tcBorders>
            <w:noWrap/>
            <w:vAlign w:val="center"/>
            <w:hideMark/>
          </w:tcPr>
          <w:p w14:paraId="40A07826" w14:textId="77473861" w:rsidR="008B5BC1" w:rsidRPr="00B96281" w:rsidRDefault="00877A5F" w:rsidP="00E66F1C">
            <w:pPr>
              <w:rPr>
                <w:rFonts w:eastAsia="Times New Roman"/>
                <w:color w:val="000000"/>
                <w:sz w:val="16"/>
                <w:szCs w:val="16"/>
              </w:rPr>
            </w:pPr>
            <w:r w:rsidRPr="008F55B4">
              <w:rPr>
                <w:rFonts w:ascii="Calibri" w:eastAsia="Times New Roman" w:hAnsi="Calibri" w:cs="Calibri"/>
                <w:color w:val="000000"/>
                <w:sz w:val="16"/>
                <w:szCs w:val="16"/>
              </w:rPr>
              <w:t>012 - Aporte Ordinario [Otros del Distrito Para Comprometer en 2025]</w:t>
            </w:r>
          </w:p>
        </w:tc>
        <w:tc>
          <w:tcPr>
            <w:tcW w:w="507" w:type="dxa"/>
            <w:tcBorders>
              <w:top w:val="nil"/>
              <w:left w:val="nil"/>
              <w:bottom w:val="single" w:sz="8" w:space="0" w:color="auto"/>
              <w:right w:val="single" w:sz="8" w:space="0" w:color="auto"/>
            </w:tcBorders>
            <w:noWrap/>
            <w:vAlign w:val="center"/>
            <w:hideMark/>
          </w:tcPr>
          <w:p w14:paraId="672E27B0" w14:textId="77777777" w:rsidR="008B5BC1" w:rsidRPr="00B96281" w:rsidRDefault="008B5BC1" w:rsidP="00E66F1C">
            <w:pPr>
              <w:jc w:val="center"/>
              <w:rPr>
                <w:rFonts w:eastAsia="Times New Roman"/>
                <w:color w:val="000000"/>
                <w:sz w:val="16"/>
                <w:szCs w:val="16"/>
              </w:rPr>
            </w:pPr>
            <w:r>
              <w:rPr>
                <w:rFonts w:eastAsia="Times New Roman"/>
                <w:color w:val="000000"/>
                <w:sz w:val="16"/>
                <w:szCs w:val="16"/>
              </w:rPr>
              <w:t>4</w:t>
            </w:r>
          </w:p>
        </w:tc>
        <w:tc>
          <w:tcPr>
            <w:tcW w:w="876" w:type="dxa"/>
            <w:tcBorders>
              <w:top w:val="nil"/>
              <w:left w:val="nil"/>
              <w:bottom w:val="single" w:sz="8" w:space="0" w:color="auto"/>
              <w:right w:val="single" w:sz="8" w:space="0" w:color="auto"/>
            </w:tcBorders>
            <w:noWrap/>
            <w:vAlign w:val="center"/>
            <w:hideMark/>
          </w:tcPr>
          <w:p w14:paraId="70B57BA1" w14:textId="0E1379AA" w:rsidR="008B5BC1" w:rsidRPr="00B96281" w:rsidRDefault="008B5BC1" w:rsidP="00E66F1C">
            <w:pPr>
              <w:jc w:val="center"/>
              <w:rPr>
                <w:rFonts w:eastAsia="Times New Roman"/>
                <w:color w:val="000000"/>
                <w:sz w:val="16"/>
                <w:szCs w:val="16"/>
              </w:rPr>
            </w:pPr>
            <w:r w:rsidRPr="00B96281">
              <w:rPr>
                <w:rFonts w:eastAsia="Times New Roman"/>
                <w:color w:val="000000"/>
                <w:sz w:val="16"/>
                <w:szCs w:val="16"/>
              </w:rPr>
              <w:t>4</w:t>
            </w:r>
            <w:r>
              <w:rPr>
                <w:rFonts w:eastAsia="Times New Roman"/>
                <w:color w:val="000000"/>
                <w:sz w:val="16"/>
                <w:szCs w:val="16"/>
              </w:rPr>
              <w:t>.</w:t>
            </w:r>
            <w:r w:rsidR="00877A5F">
              <w:rPr>
                <w:rFonts w:eastAsia="Times New Roman"/>
                <w:color w:val="000000"/>
                <w:sz w:val="16"/>
                <w:szCs w:val="16"/>
              </w:rPr>
              <w:t>1</w:t>
            </w:r>
          </w:p>
        </w:tc>
        <w:tc>
          <w:tcPr>
            <w:tcW w:w="1283" w:type="dxa"/>
            <w:tcBorders>
              <w:top w:val="nil"/>
              <w:left w:val="nil"/>
              <w:bottom w:val="single" w:sz="8" w:space="0" w:color="auto"/>
              <w:right w:val="single" w:sz="8" w:space="0" w:color="auto"/>
            </w:tcBorders>
            <w:noWrap/>
            <w:vAlign w:val="center"/>
            <w:hideMark/>
          </w:tcPr>
          <w:p w14:paraId="7D54B084" w14:textId="742BABC1" w:rsidR="008B5BC1" w:rsidRPr="00B96281" w:rsidRDefault="008B5BC1" w:rsidP="00E66F1C">
            <w:pPr>
              <w:jc w:val="right"/>
              <w:rPr>
                <w:rFonts w:eastAsia="Times New Roman"/>
                <w:color w:val="000000"/>
                <w:sz w:val="16"/>
                <w:szCs w:val="16"/>
              </w:rPr>
            </w:pPr>
            <w:r w:rsidRPr="005B7D07">
              <w:rPr>
                <w:rFonts w:eastAsia="Times New Roman"/>
                <w:color w:val="000000"/>
                <w:sz w:val="16"/>
                <w:szCs w:val="16"/>
              </w:rPr>
              <w:t>$</w:t>
            </w:r>
            <w:r w:rsidR="003A67CE" w:rsidRPr="003A67CE">
              <w:rPr>
                <w:rFonts w:eastAsia="Times New Roman"/>
                <w:color w:val="000000"/>
                <w:sz w:val="16"/>
                <w:szCs w:val="16"/>
              </w:rPr>
              <w:t>2.968.301.871</w:t>
            </w:r>
          </w:p>
        </w:tc>
        <w:tc>
          <w:tcPr>
            <w:tcW w:w="1283" w:type="dxa"/>
            <w:tcBorders>
              <w:top w:val="nil"/>
              <w:left w:val="nil"/>
              <w:bottom w:val="single" w:sz="8" w:space="0" w:color="auto"/>
              <w:right w:val="single" w:sz="8" w:space="0" w:color="auto"/>
            </w:tcBorders>
            <w:noWrap/>
            <w:vAlign w:val="center"/>
            <w:hideMark/>
          </w:tcPr>
          <w:p w14:paraId="3504C0D9" w14:textId="77777777" w:rsidR="008B5BC1" w:rsidRPr="00B96281" w:rsidRDefault="008B5BC1" w:rsidP="00E66F1C">
            <w:pPr>
              <w:jc w:val="right"/>
              <w:rPr>
                <w:rFonts w:eastAsia="Times New Roman"/>
                <w:color w:val="000000"/>
                <w:sz w:val="16"/>
                <w:szCs w:val="16"/>
              </w:rPr>
            </w:pPr>
          </w:p>
        </w:tc>
      </w:tr>
      <w:tr w:rsidR="008B5BC1" w:rsidRPr="00B96281" w14:paraId="121EFA8E" w14:textId="77777777" w:rsidTr="00E66F1C">
        <w:trPr>
          <w:trHeight w:val="173"/>
        </w:trPr>
        <w:tc>
          <w:tcPr>
            <w:tcW w:w="6549" w:type="dxa"/>
            <w:gridSpan w:val="6"/>
            <w:tcBorders>
              <w:top w:val="single" w:sz="8" w:space="0" w:color="auto"/>
              <w:left w:val="single" w:sz="8" w:space="0" w:color="auto"/>
              <w:bottom w:val="single" w:sz="8" w:space="0" w:color="auto"/>
              <w:right w:val="single" w:sz="8" w:space="0" w:color="000000"/>
            </w:tcBorders>
            <w:shd w:val="clear" w:color="auto" w:fill="D9D9D9"/>
            <w:noWrap/>
            <w:vAlign w:val="center"/>
            <w:hideMark/>
          </w:tcPr>
          <w:p w14:paraId="18418778" w14:textId="77777777" w:rsidR="008B5BC1" w:rsidRPr="005B7D07" w:rsidRDefault="008B5BC1" w:rsidP="00E66F1C">
            <w:pPr>
              <w:jc w:val="center"/>
              <w:rPr>
                <w:rFonts w:eastAsia="Times New Roman"/>
                <w:b/>
                <w:bCs/>
                <w:color w:val="000000"/>
                <w:sz w:val="16"/>
                <w:szCs w:val="16"/>
              </w:rPr>
            </w:pPr>
            <w:r w:rsidRPr="005B7D07">
              <w:rPr>
                <w:rFonts w:eastAsia="Times New Roman"/>
                <w:b/>
                <w:bCs/>
                <w:color w:val="000000"/>
                <w:sz w:val="16"/>
                <w:szCs w:val="16"/>
              </w:rPr>
              <w:t>Total</w:t>
            </w:r>
          </w:p>
        </w:tc>
        <w:tc>
          <w:tcPr>
            <w:tcW w:w="1283" w:type="dxa"/>
            <w:tcBorders>
              <w:top w:val="nil"/>
              <w:left w:val="nil"/>
              <w:bottom w:val="single" w:sz="8" w:space="0" w:color="auto"/>
              <w:right w:val="single" w:sz="8" w:space="0" w:color="auto"/>
            </w:tcBorders>
            <w:shd w:val="clear" w:color="auto" w:fill="D9D9D9"/>
            <w:vAlign w:val="center"/>
            <w:hideMark/>
          </w:tcPr>
          <w:p w14:paraId="24F6D5CC" w14:textId="6DC87537" w:rsidR="008B5BC1" w:rsidRPr="005B7D07" w:rsidRDefault="008B5BC1" w:rsidP="00E66F1C">
            <w:pPr>
              <w:jc w:val="center"/>
              <w:rPr>
                <w:rFonts w:eastAsia="Times New Roman"/>
                <w:b/>
                <w:bCs/>
                <w:color w:val="000000"/>
                <w:sz w:val="16"/>
                <w:szCs w:val="16"/>
              </w:rPr>
            </w:pPr>
            <w:r w:rsidRPr="005B7D07">
              <w:rPr>
                <w:rFonts w:eastAsia="Times New Roman"/>
                <w:b/>
                <w:bCs/>
                <w:color w:val="000000"/>
                <w:sz w:val="16"/>
                <w:szCs w:val="16"/>
              </w:rPr>
              <w:t>$</w:t>
            </w:r>
            <w:r w:rsidR="003A67CE" w:rsidRPr="003A67CE">
              <w:rPr>
                <w:rFonts w:eastAsia="Times New Roman"/>
                <w:b/>
                <w:bCs/>
                <w:color w:val="000000"/>
                <w:sz w:val="16"/>
                <w:szCs w:val="16"/>
              </w:rPr>
              <w:t>2.968.301.871</w:t>
            </w:r>
          </w:p>
        </w:tc>
        <w:tc>
          <w:tcPr>
            <w:tcW w:w="1283" w:type="dxa"/>
            <w:tcBorders>
              <w:top w:val="nil"/>
              <w:left w:val="nil"/>
              <w:bottom w:val="single" w:sz="8" w:space="0" w:color="auto"/>
              <w:right w:val="single" w:sz="8" w:space="0" w:color="auto"/>
            </w:tcBorders>
            <w:shd w:val="clear" w:color="auto" w:fill="D9D9D9"/>
            <w:vAlign w:val="center"/>
            <w:hideMark/>
          </w:tcPr>
          <w:p w14:paraId="2C74A65D" w14:textId="77777777" w:rsidR="008B5BC1" w:rsidRPr="00B96281" w:rsidRDefault="008B5BC1" w:rsidP="00E66F1C">
            <w:pPr>
              <w:jc w:val="center"/>
              <w:rPr>
                <w:rFonts w:eastAsia="Times New Roman"/>
                <w:b/>
                <w:bCs/>
                <w:color w:val="000000"/>
                <w:sz w:val="16"/>
                <w:szCs w:val="16"/>
              </w:rPr>
            </w:pPr>
          </w:p>
        </w:tc>
      </w:tr>
    </w:tbl>
    <w:p w14:paraId="497ED8FA" w14:textId="77777777" w:rsidR="008B5BC1" w:rsidRDefault="008B5BC1" w:rsidP="008B5BC1">
      <w:pPr>
        <w:jc w:val="both"/>
        <w:rPr>
          <w:i/>
          <w:color w:val="808080"/>
          <w:sz w:val="22"/>
          <w:szCs w:val="22"/>
        </w:rPr>
      </w:pPr>
    </w:p>
    <w:p w14:paraId="2256BBEC" w14:textId="77777777" w:rsidR="008B5BC1" w:rsidRDefault="008B5BC1" w:rsidP="003A67CE">
      <w:pPr>
        <w:shd w:val="clear" w:color="auto" w:fill="FFFFFF"/>
        <w:jc w:val="both"/>
        <w:rPr>
          <w:rFonts w:ascii="Segoe UI" w:eastAsia="Times New Roman" w:hAnsi="Segoe UI" w:cs="Segoe UI"/>
          <w:color w:val="242424"/>
          <w:sz w:val="22"/>
          <w:szCs w:val="22"/>
        </w:rPr>
      </w:pPr>
      <w:r>
        <w:rPr>
          <w:rFonts w:eastAsia="Times New Roman"/>
          <w:bCs/>
          <w:color w:val="000000"/>
          <w:sz w:val="22"/>
          <w:szCs w:val="22"/>
          <w:bdr w:val="none" w:sz="0" w:space="0" w:color="auto" w:frame="1"/>
        </w:rPr>
        <w:t xml:space="preserve">Es importante precisar, que con esta modificación </w:t>
      </w:r>
      <w:r w:rsidRPr="000A2353">
        <w:rPr>
          <w:sz w:val="22"/>
          <w:szCs w:val="22"/>
        </w:rPr>
        <w:t>no se impacta la meta en su cumplimiento ni es su magnitud física</w:t>
      </w:r>
      <w:r>
        <w:rPr>
          <w:sz w:val="22"/>
          <w:szCs w:val="22"/>
        </w:rPr>
        <w:t>.</w:t>
      </w:r>
    </w:p>
    <w:p w14:paraId="5BD4438B" w14:textId="77777777" w:rsidR="007611C5" w:rsidRDefault="007611C5" w:rsidP="00636E5F">
      <w:pPr>
        <w:jc w:val="both"/>
        <w:rPr>
          <w:sz w:val="22"/>
          <w:szCs w:val="22"/>
          <w:lang w:val="es-ES" w:eastAsia="x-none"/>
        </w:rPr>
      </w:pPr>
    </w:p>
    <w:p w14:paraId="1C51AF0E" w14:textId="1F6671B8" w:rsidR="00565163" w:rsidRDefault="00565163" w:rsidP="00DA381A">
      <w:pPr>
        <w:pStyle w:val="Ttulo1"/>
        <w:numPr>
          <w:ilvl w:val="0"/>
          <w:numId w:val="2"/>
        </w:numPr>
        <w:rPr>
          <w:rStyle w:val="Ttulo1Car"/>
          <w:rFonts w:eastAsia="Calibri"/>
          <w:b/>
          <w:bCs/>
          <w:sz w:val="22"/>
          <w:szCs w:val="22"/>
          <w:lang w:val="es-ES"/>
        </w:rPr>
      </w:pPr>
      <w:r w:rsidRPr="00824BF6">
        <w:rPr>
          <w:rStyle w:val="Ttulo1Car"/>
          <w:rFonts w:eastAsia="Calibri"/>
          <w:b/>
          <w:bCs/>
          <w:sz w:val="22"/>
          <w:szCs w:val="22"/>
          <w:lang w:val="es-ES"/>
        </w:rPr>
        <w:t>JUSTIFICACIÓN TÉCNICA</w:t>
      </w:r>
    </w:p>
    <w:p w14:paraId="38256A40" w14:textId="0E69DAE4" w:rsidR="00824BF6" w:rsidRDefault="00824BF6" w:rsidP="00824BF6">
      <w:pPr>
        <w:rPr>
          <w:lang w:val="es-ES" w:eastAsia="x-none"/>
        </w:rPr>
      </w:pPr>
    </w:p>
    <w:p w14:paraId="7B5B2B1D" w14:textId="6FAE7CE7" w:rsidR="00824BF6" w:rsidRPr="00686763" w:rsidRDefault="002753B2" w:rsidP="00824BF6">
      <w:pPr>
        <w:jc w:val="both"/>
        <w:rPr>
          <w:sz w:val="22"/>
          <w:szCs w:val="22"/>
        </w:rPr>
      </w:pPr>
      <w:r w:rsidRPr="00686763">
        <w:rPr>
          <w:sz w:val="22"/>
          <w:szCs w:val="22"/>
        </w:rPr>
        <w:t xml:space="preserve">La financiación de este proyecto se realiza, teniendo en cuenta </w:t>
      </w:r>
      <w:r w:rsidR="00824BF6" w:rsidRPr="00686763">
        <w:rPr>
          <w:sz w:val="22"/>
          <w:szCs w:val="22"/>
        </w:rPr>
        <w:t xml:space="preserve">el compromiso del Distrito y su visión hacia el desarrollo del sector salud, cuya finalidad es la de fortalecer la capacidad productiva y tecnológica del país, retomar a mediano plazo la producción de vacunas para COVID-19 y otras incluidas en el Plan Ampliado de Inmunización de Colombia y garantizar respuestas sostenibles y resilientes ante las enfermedades infecciosas emergentes. </w:t>
      </w:r>
    </w:p>
    <w:p w14:paraId="13FA9E96" w14:textId="77777777" w:rsidR="00EE527C" w:rsidRPr="00686763" w:rsidRDefault="00EE527C" w:rsidP="00824BF6">
      <w:pPr>
        <w:jc w:val="both"/>
        <w:rPr>
          <w:sz w:val="22"/>
          <w:szCs w:val="22"/>
        </w:rPr>
      </w:pPr>
    </w:p>
    <w:p w14:paraId="65D85DEF" w14:textId="77777777" w:rsidR="00A20DBE" w:rsidRPr="00A20DBE" w:rsidRDefault="008464AE" w:rsidP="00A20DBE">
      <w:pPr>
        <w:jc w:val="both"/>
        <w:rPr>
          <w:sz w:val="22"/>
          <w:szCs w:val="22"/>
        </w:rPr>
      </w:pPr>
      <w:r w:rsidRPr="00A20DBE">
        <w:rPr>
          <w:sz w:val="22"/>
          <w:szCs w:val="22"/>
        </w:rPr>
        <w:t>L</w:t>
      </w:r>
      <w:r w:rsidR="00E61C87" w:rsidRPr="00A20DBE">
        <w:rPr>
          <w:sz w:val="22"/>
          <w:szCs w:val="22"/>
        </w:rPr>
        <w:t>os recursos disponibles</w:t>
      </w:r>
      <w:r w:rsidR="00554B08" w:rsidRPr="00A20DBE">
        <w:rPr>
          <w:sz w:val="22"/>
          <w:szCs w:val="22"/>
        </w:rPr>
        <w:t xml:space="preserve"> </w:t>
      </w:r>
      <w:r w:rsidR="00686763" w:rsidRPr="00A20DBE">
        <w:rPr>
          <w:sz w:val="22"/>
          <w:szCs w:val="22"/>
        </w:rPr>
        <w:t xml:space="preserve">en la </w:t>
      </w:r>
      <w:r w:rsidR="00A20DBE" w:rsidRPr="00A20DBE">
        <w:rPr>
          <w:sz w:val="22"/>
          <w:szCs w:val="22"/>
        </w:rPr>
        <w:t>No. 4</w:t>
      </w:r>
      <w:r w:rsidR="00A20DBE" w:rsidRPr="00A20DBE">
        <w:rPr>
          <w:i/>
          <w:iCs/>
          <w:sz w:val="22"/>
          <w:szCs w:val="22"/>
        </w:rPr>
        <w:t xml:space="preserve"> “Avanzar en el 100% del cronograma establecido para la producción y generación de biológicos (envasado y llenado) en Bogotá D.C para contribuir a la soberanía sanitaria” </w:t>
      </w:r>
      <w:r w:rsidR="00A20DBE" w:rsidRPr="00A20DBE">
        <w:rPr>
          <w:sz w:val="22"/>
          <w:szCs w:val="22"/>
        </w:rPr>
        <w:t xml:space="preserve">sobre la actividad </w:t>
      </w:r>
      <w:r w:rsidR="00A20DBE" w:rsidRPr="00A20DBE">
        <w:rPr>
          <w:i/>
          <w:iCs/>
          <w:sz w:val="22"/>
          <w:szCs w:val="22"/>
        </w:rPr>
        <w:t>“Elaborar y desarrollar el cronograma establecido para la producción y generación de biológicos (envasado y llenado) en Bogotá D.C para contribuir a la soberanía sanitaria.”</w:t>
      </w:r>
      <w:r w:rsidR="00A20DBE" w:rsidRPr="00A20DBE">
        <w:rPr>
          <w:sz w:val="22"/>
          <w:szCs w:val="22"/>
        </w:rPr>
        <w:t xml:space="preserve"> Con lo cual se avanzará en la vigencia 2025 en la conformación del vehículo, que permitirá el desarrollo del componente de “recursos” establecido en la Política de actores de ciencia, tecnología e innovación. Este componente está enfocado en las instalaciones, laboratorio y equipamiento especializado, para la investigación y desarrollo; conformando así, el conjunto de medios técnicos necesarios para el desarrollo de actividades de Ciencia, Tecnología e Innovación. </w:t>
      </w:r>
    </w:p>
    <w:p w14:paraId="6EAA8824" w14:textId="389886D8" w:rsidR="000F7D93" w:rsidRPr="00A20DBE" w:rsidRDefault="000F7D93" w:rsidP="00A20DBE">
      <w:pPr>
        <w:jc w:val="both"/>
        <w:rPr>
          <w:sz w:val="22"/>
          <w:szCs w:val="22"/>
          <w:lang w:val="x-none" w:eastAsia="x-none"/>
        </w:rPr>
      </w:pPr>
    </w:p>
    <w:tbl>
      <w:tblPr>
        <w:tblW w:w="9259" w:type="dxa"/>
        <w:jc w:val="center"/>
        <w:tblCellMar>
          <w:left w:w="70" w:type="dxa"/>
          <w:right w:w="70" w:type="dxa"/>
        </w:tblCellMar>
        <w:tblLook w:val="04A0" w:firstRow="1" w:lastRow="0" w:firstColumn="1" w:lastColumn="0" w:noHBand="0" w:noVBand="1"/>
      </w:tblPr>
      <w:tblGrid>
        <w:gridCol w:w="1876"/>
        <w:gridCol w:w="1347"/>
        <w:gridCol w:w="1192"/>
        <w:gridCol w:w="1192"/>
        <w:gridCol w:w="1269"/>
        <w:gridCol w:w="1269"/>
        <w:gridCol w:w="1114"/>
      </w:tblGrid>
      <w:tr w:rsidR="000F7D93" w:rsidRPr="00124B28" w14:paraId="45A37164" w14:textId="77777777" w:rsidTr="00156E3C">
        <w:trPr>
          <w:trHeight w:val="360"/>
          <w:jc w:val="center"/>
        </w:trPr>
        <w:tc>
          <w:tcPr>
            <w:tcW w:w="1876" w:type="dxa"/>
            <w:tcBorders>
              <w:top w:val="single" w:sz="8" w:space="0" w:color="auto"/>
              <w:left w:val="single" w:sz="8" w:space="0" w:color="auto"/>
              <w:bottom w:val="nil"/>
              <w:right w:val="single" w:sz="8" w:space="0" w:color="auto"/>
            </w:tcBorders>
            <w:shd w:val="clear" w:color="000000" w:fill="DEEAF6"/>
            <w:vAlign w:val="center"/>
            <w:hideMark/>
          </w:tcPr>
          <w:p w14:paraId="1F35CE55" w14:textId="77777777" w:rsidR="000F7D93" w:rsidRPr="00124B28" w:rsidRDefault="000F7D93" w:rsidP="00156E3C">
            <w:pPr>
              <w:jc w:val="center"/>
              <w:rPr>
                <w:rFonts w:eastAsia="Times New Roman"/>
                <w:b/>
                <w:bCs/>
                <w:color w:val="000000"/>
                <w:sz w:val="14"/>
                <w:szCs w:val="14"/>
              </w:rPr>
            </w:pPr>
            <w:r w:rsidRPr="00124B28">
              <w:rPr>
                <w:rFonts w:eastAsia="Times New Roman"/>
                <w:b/>
                <w:bCs/>
                <w:color w:val="000000"/>
                <w:sz w:val="14"/>
                <w:szCs w:val="14"/>
              </w:rPr>
              <w:t xml:space="preserve">Fuente de Financiación </w:t>
            </w:r>
          </w:p>
        </w:tc>
        <w:tc>
          <w:tcPr>
            <w:tcW w:w="1347" w:type="dxa"/>
            <w:tcBorders>
              <w:top w:val="single" w:sz="8" w:space="0" w:color="auto"/>
              <w:left w:val="nil"/>
              <w:bottom w:val="nil"/>
              <w:right w:val="single" w:sz="8" w:space="0" w:color="auto"/>
            </w:tcBorders>
            <w:shd w:val="clear" w:color="000000" w:fill="DEEAF6"/>
            <w:vAlign w:val="center"/>
            <w:hideMark/>
          </w:tcPr>
          <w:p w14:paraId="6E395317" w14:textId="77777777" w:rsidR="000F7D93" w:rsidRPr="00124B28" w:rsidRDefault="000F7D93" w:rsidP="00156E3C">
            <w:pPr>
              <w:jc w:val="center"/>
              <w:rPr>
                <w:rFonts w:eastAsia="Times New Roman"/>
                <w:b/>
                <w:bCs/>
                <w:color w:val="000000"/>
                <w:sz w:val="14"/>
                <w:szCs w:val="14"/>
              </w:rPr>
            </w:pPr>
            <w:bookmarkStart w:id="1" w:name="RANGE!C4"/>
            <w:r w:rsidRPr="00124B28">
              <w:rPr>
                <w:rFonts w:eastAsia="Times New Roman"/>
                <w:b/>
                <w:bCs/>
                <w:color w:val="000000"/>
                <w:sz w:val="14"/>
                <w:szCs w:val="14"/>
              </w:rPr>
              <w:t>Año 1 2022</w:t>
            </w:r>
            <w:bookmarkEnd w:id="1"/>
          </w:p>
        </w:tc>
        <w:tc>
          <w:tcPr>
            <w:tcW w:w="1192" w:type="dxa"/>
            <w:tcBorders>
              <w:top w:val="single" w:sz="8" w:space="0" w:color="auto"/>
              <w:left w:val="nil"/>
              <w:bottom w:val="nil"/>
              <w:right w:val="single" w:sz="8" w:space="0" w:color="auto"/>
            </w:tcBorders>
            <w:shd w:val="clear" w:color="000000" w:fill="DEEAF6"/>
            <w:vAlign w:val="center"/>
            <w:hideMark/>
          </w:tcPr>
          <w:p w14:paraId="28358CBF" w14:textId="77777777" w:rsidR="000F7D93" w:rsidRPr="00124B28" w:rsidRDefault="000F7D93" w:rsidP="00156E3C">
            <w:pPr>
              <w:jc w:val="center"/>
              <w:rPr>
                <w:rFonts w:eastAsia="Times New Roman"/>
                <w:b/>
                <w:bCs/>
                <w:color w:val="000000"/>
                <w:sz w:val="14"/>
                <w:szCs w:val="14"/>
              </w:rPr>
            </w:pPr>
            <w:r w:rsidRPr="00124B28">
              <w:rPr>
                <w:rFonts w:eastAsia="Times New Roman"/>
                <w:b/>
                <w:bCs/>
                <w:color w:val="000000"/>
                <w:sz w:val="14"/>
                <w:szCs w:val="14"/>
              </w:rPr>
              <w:t>Año 2 2023</w:t>
            </w:r>
          </w:p>
        </w:tc>
        <w:tc>
          <w:tcPr>
            <w:tcW w:w="1192" w:type="dxa"/>
            <w:tcBorders>
              <w:top w:val="single" w:sz="8" w:space="0" w:color="auto"/>
              <w:left w:val="nil"/>
              <w:bottom w:val="nil"/>
              <w:right w:val="single" w:sz="8" w:space="0" w:color="auto"/>
            </w:tcBorders>
            <w:shd w:val="clear" w:color="000000" w:fill="DEEAF6"/>
            <w:vAlign w:val="center"/>
            <w:hideMark/>
          </w:tcPr>
          <w:p w14:paraId="29654ABD" w14:textId="77777777" w:rsidR="000F7D93" w:rsidRPr="00124B28" w:rsidRDefault="000F7D93" w:rsidP="00156E3C">
            <w:pPr>
              <w:jc w:val="center"/>
              <w:rPr>
                <w:rFonts w:eastAsia="Times New Roman"/>
                <w:b/>
                <w:bCs/>
                <w:color w:val="000000"/>
                <w:sz w:val="14"/>
                <w:szCs w:val="14"/>
              </w:rPr>
            </w:pPr>
            <w:r w:rsidRPr="00124B28">
              <w:rPr>
                <w:rFonts w:eastAsia="Times New Roman"/>
                <w:b/>
                <w:bCs/>
                <w:color w:val="000000"/>
                <w:sz w:val="14"/>
                <w:szCs w:val="14"/>
              </w:rPr>
              <w:t>Año 3 2024</w:t>
            </w:r>
          </w:p>
        </w:tc>
        <w:tc>
          <w:tcPr>
            <w:tcW w:w="1269" w:type="dxa"/>
            <w:tcBorders>
              <w:top w:val="single" w:sz="8" w:space="0" w:color="auto"/>
              <w:left w:val="nil"/>
              <w:bottom w:val="nil"/>
              <w:right w:val="single" w:sz="8" w:space="0" w:color="auto"/>
            </w:tcBorders>
            <w:shd w:val="clear" w:color="000000" w:fill="DEEAF6"/>
            <w:vAlign w:val="center"/>
            <w:hideMark/>
          </w:tcPr>
          <w:p w14:paraId="2DF0F5D9" w14:textId="77777777" w:rsidR="000F7D93" w:rsidRPr="00124B28" w:rsidRDefault="000F7D93" w:rsidP="00156E3C">
            <w:pPr>
              <w:jc w:val="center"/>
              <w:rPr>
                <w:rFonts w:eastAsia="Times New Roman"/>
                <w:b/>
                <w:bCs/>
                <w:color w:val="000000"/>
                <w:sz w:val="14"/>
                <w:szCs w:val="14"/>
              </w:rPr>
            </w:pPr>
            <w:r w:rsidRPr="00124B28">
              <w:rPr>
                <w:rFonts w:eastAsia="Times New Roman"/>
                <w:b/>
                <w:bCs/>
                <w:color w:val="000000"/>
                <w:sz w:val="14"/>
                <w:szCs w:val="14"/>
              </w:rPr>
              <w:t>Año 4 2025</w:t>
            </w:r>
          </w:p>
        </w:tc>
        <w:tc>
          <w:tcPr>
            <w:tcW w:w="1269" w:type="dxa"/>
            <w:tcBorders>
              <w:top w:val="single" w:sz="8" w:space="0" w:color="auto"/>
              <w:left w:val="nil"/>
              <w:bottom w:val="nil"/>
              <w:right w:val="single" w:sz="8" w:space="0" w:color="auto"/>
            </w:tcBorders>
            <w:shd w:val="clear" w:color="000000" w:fill="DEEAF6"/>
            <w:vAlign w:val="center"/>
            <w:hideMark/>
          </w:tcPr>
          <w:p w14:paraId="101460B9" w14:textId="77777777" w:rsidR="000F7D93" w:rsidRPr="00124B28" w:rsidRDefault="000F7D93" w:rsidP="00156E3C">
            <w:pPr>
              <w:jc w:val="center"/>
              <w:rPr>
                <w:rFonts w:eastAsia="Times New Roman"/>
                <w:b/>
                <w:bCs/>
                <w:color w:val="000000"/>
                <w:sz w:val="14"/>
                <w:szCs w:val="14"/>
              </w:rPr>
            </w:pPr>
            <w:r w:rsidRPr="00124B28">
              <w:rPr>
                <w:rFonts w:eastAsia="Times New Roman"/>
                <w:b/>
                <w:bCs/>
                <w:color w:val="000000"/>
                <w:sz w:val="14"/>
                <w:szCs w:val="14"/>
              </w:rPr>
              <w:t>Año 5 2026</w:t>
            </w:r>
          </w:p>
        </w:tc>
        <w:tc>
          <w:tcPr>
            <w:tcW w:w="1114" w:type="dxa"/>
            <w:tcBorders>
              <w:top w:val="single" w:sz="8" w:space="0" w:color="auto"/>
              <w:left w:val="nil"/>
              <w:bottom w:val="nil"/>
              <w:right w:val="single" w:sz="8" w:space="0" w:color="auto"/>
            </w:tcBorders>
            <w:shd w:val="clear" w:color="000000" w:fill="DEEAF6"/>
            <w:vAlign w:val="center"/>
            <w:hideMark/>
          </w:tcPr>
          <w:p w14:paraId="78CF5958" w14:textId="77777777" w:rsidR="000F7D93" w:rsidRPr="00124B28" w:rsidRDefault="000F7D93" w:rsidP="00156E3C">
            <w:pPr>
              <w:jc w:val="center"/>
              <w:rPr>
                <w:rFonts w:eastAsia="Times New Roman"/>
                <w:b/>
                <w:bCs/>
                <w:color w:val="000000"/>
                <w:sz w:val="14"/>
                <w:szCs w:val="14"/>
              </w:rPr>
            </w:pPr>
            <w:r w:rsidRPr="00124B28">
              <w:rPr>
                <w:rFonts w:eastAsia="Times New Roman"/>
                <w:b/>
                <w:bCs/>
                <w:color w:val="000000"/>
                <w:sz w:val="14"/>
                <w:szCs w:val="14"/>
              </w:rPr>
              <w:t>Año 6 2027</w:t>
            </w:r>
          </w:p>
        </w:tc>
      </w:tr>
      <w:tr w:rsidR="000F7D93" w:rsidRPr="00124B28" w14:paraId="7DD31735" w14:textId="77777777" w:rsidTr="00156E3C">
        <w:trPr>
          <w:trHeight w:val="375"/>
          <w:jc w:val="center"/>
        </w:trPr>
        <w:tc>
          <w:tcPr>
            <w:tcW w:w="187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A41DCE0" w14:textId="77777777" w:rsidR="000F7D93" w:rsidRPr="00124B28" w:rsidRDefault="000F7D93" w:rsidP="00156E3C">
            <w:pPr>
              <w:jc w:val="both"/>
              <w:rPr>
                <w:rFonts w:eastAsia="Times New Roman"/>
                <w:color w:val="000000"/>
                <w:sz w:val="14"/>
                <w:szCs w:val="14"/>
              </w:rPr>
            </w:pPr>
            <w:r w:rsidRPr="00124B28">
              <w:rPr>
                <w:rFonts w:eastAsia="Times New Roman"/>
                <w:color w:val="000000"/>
                <w:sz w:val="14"/>
                <w:szCs w:val="14"/>
              </w:rPr>
              <w:t>Aporte Ordinario (Recursos del crédito)</w:t>
            </w:r>
          </w:p>
        </w:tc>
        <w:tc>
          <w:tcPr>
            <w:tcW w:w="1347" w:type="dxa"/>
            <w:tcBorders>
              <w:top w:val="single" w:sz="4" w:space="0" w:color="auto"/>
              <w:left w:val="nil"/>
              <w:bottom w:val="single" w:sz="4" w:space="0" w:color="auto"/>
              <w:right w:val="single" w:sz="4" w:space="0" w:color="auto"/>
            </w:tcBorders>
            <w:shd w:val="clear" w:color="000000" w:fill="FFFFFF"/>
            <w:noWrap/>
            <w:vAlign w:val="center"/>
            <w:hideMark/>
          </w:tcPr>
          <w:p w14:paraId="3BC34528"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   42.955.347.885</w:t>
            </w:r>
          </w:p>
        </w:tc>
        <w:tc>
          <w:tcPr>
            <w:tcW w:w="1192" w:type="dxa"/>
            <w:tcBorders>
              <w:top w:val="single" w:sz="4" w:space="0" w:color="auto"/>
              <w:left w:val="nil"/>
              <w:bottom w:val="single" w:sz="4" w:space="0" w:color="auto"/>
              <w:right w:val="single" w:sz="4" w:space="0" w:color="auto"/>
            </w:tcBorders>
            <w:shd w:val="clear" w:color="000000" w:fill="FFFFFF"/>
            <w:noWrap/>
            <w:vAlign w:val="center"/>
            <w:hideMark/>
          </w:tcPr>
          <w:p w14:paraId="4D40E9D2"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w:t>
            </w:r>
          </w:p>
        </w:tc>
        <w:tc>
          <w:tcPr>
            <w:tcW w:w="1192" w:type="dxa"/>
            <w:tcBorders>
              <w:top w:val="single" w:sz="4" w:space="0" w:color="auto"/>
              <w:left w:val="nil"/>
              <w:bottom w:val="single" w:sz="4" w:space="0" w:color="auto"/>
              <w:right w:val="single" w:sz="4" w:space="0" w:color="auto"/>
            </w:tcBorders>
            <w:shd w:val="clear" w:color="000000" w:fill="FFFFFF"/>
            <w:noWrap/>
            <w:vAlign w:val="center"/>
            <w:hideMark/>
          </w:tcPr>
          <w:p w14:paraId="4E56F268"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w:t>
            </w:r>
          </w:p>
        </w:tc>
        <w:tc>
          <w:tcPr>
            <w:tcW w:w="1269" w:type="dxa"/>
            <w:tcBorders>
              <w:top w:val="single" w:sz="4" w:space="0" w:color="auto"/>
              <w:left w:val="nil"/>
              <w:bottom w:val="single" w:sz="4" w:space="0" w:color="auto"/>
              <w:right w:val="single" w:sz="4" w:space="0" w:color="auto"/>
            </w:tcBorders>
            <w:shd w:val="clear" w:color="000000" w:fill="FFFFFF"/>
            <w:noWrap/>
            <w:vAlign w:val="center"/>
            <w:hideMark/>
          </w:tcPr>
          <w:p w14:paraId="789E66CE"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w:t>
            </w:r>
          </w:p>
        </w:tc>
        <w:tc>
          <w:tcPr>
            <w:tcW w:w="1269" w:type="dxa"/>
            <w:tcBorders>
              <w:top w:val="single" w:sz="4" w:space="0" w:color="auto"/>
              <w:left w:val="nil"/>
              <w:bottom w:val="single" w:sz="4" w:space="0" w:color="auto"/>
              <w:right w:val="single" w:sz="4" w:space="0" w:color="auto"/>
            </w:tcBorders>
            <w:shd w:val="clear" w:color="000000" w:fill="FFFFFF"/>
            <w:vAlign w:val="center"/>
            <w:hideMark/>
          </w:tcPr>
          <w:p w14:paraId="6FDAE3AB" w14:textId="77777777" w:rsidR="000F7D93" w:rsidRPr="00124B28" w:rsidRDefault="000F7D93" w:rsidP="00156E3C">
            <w:pPr>
              <w:rPr>
                <w:rFonts w:eastAsia="Times New Roman"/>
                <w:color w:val="000000"/>
                <w:sz w:val="14"/>
                <w:szCs w:val="14"/>
              </w:rPr>
            </w:pPr>
            <w:r w:rsidRPr="00124B28">
              <w:rPr>
                <w:rFonts w:eastAsia="Times New Roman"/>
                <w:bCs/>
                <w:color w:val="000000"/>
                <w:sz w:val="14"/>
                <w:szCs w:val="14"/>
              </w:rPr>
              <w:t> </w:t>
            </w:r>
          </w:p>
        </w:tc>
        <w:tc>
          <w:tcPr>
            <w:tcW w:w="1114" w:type="dxa"/>
            <w:tcBorders>
              <w:top w:val="single" w:sz="4" w:space="0" w:color="auto"/>
              <w:left w:val="nil"/>
              <w:bottom w:val="single" w:sz="4" w:space="0" w:color="auto"/>
              <w:right w:val="single" w:sz="8" w:space="0" w:color="auto"/>
            </w:tcBorders>
            <w:shd w:val="clear" w:color="000000" w:fill="FFFFFF"/>
            <w:vAlign w:val="center"/>
            <w:hideMark/>
          </w:tcPr>
          <w:p w14:paraId="3B5D1A9F" w14:textId="77777777" w:rsidR="000F7D93" w:rsidRPr="00124B28" w:rsidRDefault="000F7D93" w:rsidP="00156E3C">
            <w:pPr>
              <w:rPr>
                <w:rFonts w:eastAsia="Times New Roman"/>
                <w:color w:val="000000"/>
                <w:sz w:val="14"/>
                <w:szCs w:val="14"/>
              </w:rPr>
            </w:pPr>
            <w:r w:rsidRPr="00124B28">
              <w:rPr>
                <w:rFonts w:eastAsia="Times New Roman"/>
                <w:bCs/>
                <w:color w:val="000000"/>
                <w:sz w:val="14"/>
                <w:szCs w:val="14"/>
              </w:rPr>
              <w:t> </w:t>
            </w:r>
          </w:p>
        </w:tc>
      </w:tr>
      <w:tr w:rsidR="000F7D93" w:rsidRPr="00124B28" w14:paraId="228A8B3B" w14:textId="77777777" w:rsidTr="00156E3C">
        <w:trPr>
          <w:trHeight w:val="267"/>
          <w:jc w:val="center"/>
        </w:trPr>
        <w:tc>
          <w:tcPr>
            <w:tcW w:w="1876" w:type="dxa"/>
            <w:tcBorders>
              <w:top w:val="nil"/>
              <w:left w:val="single" w:sz="8" w:space="0" w:color="auto"/>
              <w:bottom w:val="single" w:sz="4" w:space="0" w:color="auto"/>
              <w:right w:val="single" w:sz="4" w:space="0" w:color="auto"/>
            </w:tcBorders>
            <w:shd w:val="clear" w:color="auto" w:fill="auto"/>
            <w:vAlign w:val="center"/>
            <w:hideMark/>
          </w:tcPr>
          <w:p w14:paraId="262E371B" w14:textId="77777777" w:rsidR="000F7D93" w:rsidRPr="00124B28" w:rsidRDefault="000F7D93" w:rsidP="00156E3C">
            <w:pPr>
              <w:jc w:val="both"/>
              <w:rPr>
                <w:rFonts w:eastAsia="Times New Roman"/>
                <w:color w:val="000000"/>
                <w:sz w:val="14"/>
                <w:szCs w:val="14"/>
              </w:rPr>
            </w:pPr>
            <w:r w:rsidRPr="00124B28">
              <w:rPr>
                <w:rFonts w:eastAsia="Times New Roman"/>
                <w:color w:val="000000"/>
                <w:sz w:val="14"/>
                <w:szCs w:val="14"/>
              </w:rPr>
              <w:t>Recursos del balance de libre destinación</w:t>
            </w:r>
          </w:p>
        </w:tc>
        <w:tc>
          <w:tcPr>
            <w:tcW w:w="1347" w:type="dxa"/>
            <w:tcBorders>
              <w:top w:val="nil"/>
              <w:left w:val="nil"/>
              <w:bottom w:val="single" w:sz="4" w:space="0" w:color="auto"/>
              <w:right w:val="single" w:sz="4" w:space="0" w:color="auto"/>
            </w:tcBorders>
            <w:shd w:val="clear" w:color="000000" w:fill="FFFFFF"/>
            <w:noWrap/>
            <w:vAlign w:val="center"/>
            <w:hideMark/>
          </w:tcPr>
          <w:p w14:paraId="5604BB2F"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7.044.652.115</w:t>
            </w:r>
          </w:p>
        </w:tc>
        <w:tc>
          <w:tcPr>
            <w:tcW w:w="1192" w:type="dxa"/>
            <w:tcBorders>
              <w:top w:val="nil"/>
              <w:left w:val="nil"/>
              <w:bottom w:val="single" w:sz="4" w:space="0" w:color="auto"/>
              <w:right w:val="single" w:sz="4" w:space="0" w:color="auto"/>
            </w:tcBorders>
            <w:shd w:val="clear" w:color="000000" w:fill="FFFFFF"/>
            <w:noWrap/>
            <w:vAlign w:val="center"/>
            <w:hideMark/>
          </w:tcPr>
          <w:p w14:paraId="0E8DD2A5"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w:t>
            </w:r>
          </w:p>
        </w:tc>
        <w:tc>
          <w:tcPr>
            <w:tcW w:w="1192" w:type="dxa"/>
            <w:tcBorders>
              <w:top w:val="nil"/>
              <w:left w:val="nil"/>
              <w:bottom w:val="single" w:sz="4" w:space="0" w:color="auto"/>
              <w:right w:val="single" w:sz="4" w:space="0" w:color="auto"/>
            </w:tcBorders>
            <w:shd w:val="clear" w:color="000000" w:fill="FFFFFF"/>
            <w:noWrap/>
            <w:vAlign w:val="center"/>
            <w:hideMark/>
          </w:tcPr>
          <w:p w14:paraId="71D6ABE0"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w:t>
            </w:r>
          </w:p>
        </w:tc>
        <w:tc>
          <w:tcPr>
            <w:tcW w:w="1269" w:type="dxa"/>
            <w:tcBorders>
              <w:top w:val="nil"/>
              <w:left w:val="nil"/>
              <w:bottom w:val="single" w:sz="4" w:space="0" w:color="auto"/>
              <w:right w:val="single" w:sz="4" w:space="0" w:color="auto"/>
            </w:tcBorders>
            <w:shd w:val="clear" w:color="000000" w:fill="FFFFFF"/>
            <w:noWrap/>
            <w:vAlign w:val="center"/>
            <w:hideMark/>
          </w:tcPr>
          <w:p w14:paraId="538CA975" w14:textId="77777777" w:rsidR="000F7D93" w:rsidRPr="00124B28" w:rsidRDefault="000F7D93" w:rsidP="00156E3C">
            <w:pPr>
              <w:rPr>
                <w:rFonts w:eastAsia="Times New Roman"/>
                <w:color w:val="000000"/>
                <w:sz w:val="14"/>
                <w:szCs w:val="14"/>
              </w:rPr>
            </w:pPr>
            <w:r w:rsidRPr="00124B28">
              <w:rPr>
                <w:rFonts w:eastAsia="Times New Roman"/>
                <w:color w:val="000000"/>
                <w:sz w:val="14"/>
                <w:szCs w:val="14"/>
              </w:rPr>
              <w:t> </w:t>
            </w:r>
          </w:p>
        </w:tc>
        <w:tc>
          <w:tcPr>
            <w:tcW w:w="1269" w:type="dxa"/>
            <w:tcBorders>
              <w:top w:val="nil"/>
              <w:left w:val="nil"/>
              <w:bottom w:val="single" w:sz="4" w:space="0" w:color="auto"/>
              <w:right w:val="single" w:sz="4" w:space="0" w:color="auto"/>
            </w:tcBorders>
            <w:shd w:val="clear" w:color="000000" w:fill="FFFFFF"/>
            <w:vAlign w:val="center"/>
            <w:hideMark/>
          </w:tcPr>
          <w:p w14:paraId="564DDBB9" w14:textId="77777777" w:rsidR="000F7D93" w:rsidRPr="00124B28" w:rsidRDefault="000F7D93" w:rsidP="00156E3C">
            <w:pPr>
              <w:rPr>
                <w:rFonts w:eastAsia="Times New Roman"/>
                <w:color w:val="000000"/>
                <w:sz w:val="14"/>
                <w:szCs w:val="14"/>
              </w:rPr>
            </w:pPr>
            <w:r w:rsidRPr="00124B28">
              <w:rPr>
                <w:rFonts w:eastAsia="Times New Roman"/>
                <w:bCs/>
                <w:color w:val="000000"/>
                <w:sz w:val="14"/>
                <w:szCs w:val="14"/>
              </w:rPr>
              <w:t> </w:t>
            </w:r>
          </w:p>
        </w:tc>
        <w:tc>
          <w:tcPr>
            <w:tcW w:w="1114" w:type="dxa"/>
            <w:tcBorders>
              <w:top w:val="nil"/>
              <w:left w:val="nil"/>
              <w:bottom w:val="single" w:sz="4" w:space="0" w:color="auto"/>
              <w:right w:val="single" w:sz="8" w:space="0" w:color="auto"/>
            </w:tcBorders>
            <w:shd w:val="clear" w:color="000000" w:fill="FFFFFF"/>
            <w:vAlign w:val="center"/>
            <w:hideMark/>
          </w:tcPr>
          <w:p w14:paraId="03F32978" w14:textId="77777777" w:rsidR="000F7D93" w:rsidRPr="00124B28" w:rsidRDefault="000F7D93" w:rsidP="00156E3C">
            <w:pPr>
              <w:rPr>
                <w:rFonts w:eastAsia="Times New Roman"/>
                <w:color w:val="000000"/>
                <w:sz w:val="14"/>
                <w:szCs w:val="14"/>
              </w:rPr>
            </w:pPr>
            <w:r w:rsidRPr="00124B28">
              <w:rPr>
                <w:rFonts w:eastAsia="Times New Roman"/>
                <w:bCs/>
                <w:color w:val="000000"/>
                <w:sz w:val="14"/>
                <w:szCs w:val="14"/>
              </w:rPr>
              <w:t> </w:t>
            </w:r>
          </w:p>
        </w:tc>
      </w:tr>
      <w:tr w:rsidR="00E423D5" w:rsidRPr="00124B28" w14:paraId="0194077A" w14:textId="77777777" w:rsidTr="00156E3C">
        <w:trPr>
          <w:trHeight w:val="475"/>
          <w:jc w:val="center"/>
        </w:trPr>
        <w:tc>
          <w:tcPr>
            <w:tcW w:w="1876" w:type="dxa"/>
            <w:tcBorders>
              <w:top w:val="nil"/>
              <w:left w:val="single" w:sz="8" w:space="0" w:color="auto"/>
              <w:bottom w:val="single" w:sz="4" w:space="0" w:color="auto"/>
              <w:right w:val="single" w:sz="4" w:space="0" w:color="auto"/>
            </w:tcBorders>
            <w:shd w:val="clear" w:color="auto" w:fill="auto"/>
            <w:vAlign w:val="center"/>
            <w:hideMark/>
          </w:tcPr>
          <w:p w14:paraId="380C1779" w14:textId="77777777" w:rsidR="00E423D5" w:rsidRPr="00124B28" w:rsidRDefault="00E423D5" w:rsidP="00E423D5">
            <w:pPr>
              <w:jc w:val="both"/>
              <w:rPr>
                <w:rFonts w:eastAsia="Times New Roman"/>
                <w:color w:val="000000"/>
                <w:sz w:val="14"/>
                <w:szCs w:val="14"/>
              </w:rPr>
            </w:pPr>
            <w:r w:rsidRPr="00124B28">
              <w:rPr>
                <w:rFonts w:eastAsia="Times New Roman"/>
                <w:color w:val="000000"/>
                <w:sz w:val="14"/>
                <w:szCs w:val="14"/>
              </w:rPr>
              <w:t>Aporte ordinario (Otros del Distrito para comprometer en la vigencia 202</w:t>
            </w:r>
            <w:r>
              <w:rPr>
                <w:rFonts w:eastAsia="Times New Roman"/>
                <w:color w:val="000000"/>
                <w:sz w:val="14"/>
                <w:szCs w:val="14"/>
              </w:rPr>
              <w:t>5</w:t>
            </w:r>
            <w:r w:rsidRPr="00124B28">
              <w:rPr>
                <w:rFonts w:eastAsia="Times New Roman"/>
                <w:color w:val="000000"/>
                <w:sz w:val="14"/>
                <w:szCs w:val="14"/>
              </w:rPr>
              <w:t>)</w:t>
            </w:r>
          </w:p>
        </w:tc>
        <w:tc>
          <w:tcPr>
            <w:tcW w:w="1347" w:type="dxa"/>
            <w:tcBorders>
              <w:top w:val="nil"/>
              <w:left w:val="nil"/>
              <w:bottom w:val="single" w:sz="4" w:space="0" w:color="auto"/>
              <w:right w:val="single" w:sz="4" w:space="0" w:color="auto"/>
            </w:tcBorders>
            <w:shd w:val="clear" w:color="000000" w:fill="FFFFFF"/>
            <w:noWrap/>
            <w:vAlign w:val="center"/>
            <w:hideMark/>
          </w:tcPr>
          <w:p w14:paraId="42ED49E9" w14:textId="77777777" w:rsidR="00E423D5" w:rsidRPr="00124B28" w:rsidRDefault="00E423D5" w:rsidP="00E423D5">
            <w:pPr>
              <w:jc w:val="right"/>
              <w:rPr>
                <w:rFonts w:eastAsia="Times New Roman"/>
                <w:color w:val="000000"/>
                <w:sz w:val="14"/>
                <w:szCs w:val="14"/>
              </w:rPr>
            </w:pPr>
            <w:r w:rsidRPr="00124B28">
              <w:rPr>
                <w:rFonts w:eastAsia="Times New Roman"/>
                <w:color w:val="000000"/>
                <w:sz w:val="14"/>
                <w:szCs w:val="14"/>
              </w:rPr>
              <w:t> </w:t>
            </w:r>
          </w:p>
        </w:tc>
        <w:tc>
          <w:tcPr>
            <w:tcW w:w="1192" w:type="dxa"/>
            <w:tcBorders>
              <w:top w:val="nil"/>
              <w:left w:val="nil"/>
              <w:bottom w:val="single" w:sz="4" w:space="0" w:color="auto"/>
              <w:right w:val="single" w:sz="4" w:space="0" w:color="auto"/>
            </w:tcBorders>
            <w:shd w:val="clear" w:color="000000" w:fill="FFFFFF"/>
            <w:noWrap/>
            <w:vAlign w:val="center"/>
            <w:hideMark/>
          </w:tcPr>
          <w:p w14:paraId="24393807" w14:textId="77777777" w:rsidR="00E423D5" w:rsidRPr="00124B28" w:rsidRDefault="00E423D5" w:rsidP="00E423D5">
            <w:pPr>
              <w:jc w:val="right"/>
              <w:rPr>
                <w:rFonts w:eastAsia="Times New Roman"/>
                <w:color w:val="000000"/>
                <w:sz w:val="14"/>
                <w:szCs w:val="14"/>
              </w:rPr>
            </w:pPr>
            <w:r w:rsidRPr="00124B28">
              <w:rPr>
                <w:rFonts w:eastAsia="Times New Roman"/>
                <w:color w:val="000000"/>
                <w:sz w:val="14"/>
                <w:szCs w:val="14"/>
              </w:rPr>
              <w:t>$1.312.000.000 </w:t>
            </w:r>
          </w:p>
        </w:tc>
        <w:tc>
          <w:tcPr>
            <w:tcW w:w="1192" w:type="dxa"/>
            <w:tcBorders>
              <w:top w:val="nil"/>
              <w:left w:val="nil"/>
              <w:bottom w:val="single" w:sz="4" w:space="0" w:color="auto"/>
              <w:right w:val="single" w:sz="4" w:space="0" w:color="auto"/>
            </w:tcBorders>
            <w:shd w:val="clear" w:color="000000" w:fill="FFFFFF"/>
            <w:noWrap/>
            <w:vAlign w:val="center"/>
            <w:hideMark/>
          </w:tcPr>
          <w:p w14:paraId="422729DA" w14:textId="77777777" w:rsidR="00E423D5" w:rsidRPr="00124B28" w:rsidRDefault="00E423D5" w:rsidP="00E423D5">
            <w:pPr>
              <w:jc w:val="right"/>
              <w:rPr>
                <w:rFonts w:eastAsia="Times New Roman"/>
                <w:color w:val="000000"/>
                <w:sz w:val="14"/>
                <w:szCs w:val="14"/>
              </w:rPr>
            </w:pPr>
            <w:r w:rsidRPr="00124B28">
              <w:rPr>
                <w:rFonts w:eastAsia="Times New Roman"/>
                <w:color w:val="000000"/>
                <w:sz w:val="14"/>
                <w:szCs w:val="14"/>
              </w:rPr>
              <w:t>$153.673.333</w:t>
            </w:r>
          </w:p>
        </w:tc>
        <w:tc>
          <w:tcPr>
            <w:tcW w:w="1269" w:type="dxa"/>
            <w:tcBorders>
              <w:top w:val="nil"/>
              <w:left w:val="nil"/>
              <w:bottom w:val="single" w:sz="4" w:space="0" w:color="auto"/>
              <w:right w:val="single" w:sz="4" w:space="0" w:color="auto"/>
            </w:tcBorders>
            <w:shd w:val="clear" w:color="000000" w:fill="FFFFFF"/>
            <w:noWrap/>
            <w:vAlign w:val="center"/>
            <w:hideMark/>
          </w:tcPr>
          <w:p w14:paraId="737D6AB5" w14:textId="6BA6EC55" w:rsidR="00E423D5" w:rsidRPr="008B3202" w:rsidRDefault="00E423D5" w:rsidP="00E423D5">
            <w:pPr>
              <w:jc w:val="right"/>
              <w:rPr>
                <w:rFonts w:eastAsia="Times New Roman"/>
                <w:color w:val="000000"/>
                <w:sz w:val="14"/>
                <w:szCs w:val="14"/>
                <w:highlight w:val="yellow"/>
              </w:rPr>
            </w:pPr>
            <w:r w:rsidRPr="000559E6">
              <w:rPr>
                <w:rFonts w:eastAsia="Times New Roman"/>
                <w:color w:val="000000"/>
                <w:sz w:val="14"/>
                <w:szCs w:val="14"/>
              </w:rPr>
              <w:t xml:space="preserve">$ </w:t>
            </w:r>
            <w:r w:rsidR="003A67CE" w:rsidRPr="003A67CE">
              <w:rPr>
                <w:rFonts w:eastAsia="Times New Roman"/>
                <w:color w:val="000000"/>
                <w:sz w:val="14"/>
                <w:szCs w:val="14"/>
              </w:rPr>
              <w:t>30.238.136.871</w:t>
            </w:r>
          </w:p>
        </w:tc>
        <w:tc>
          <w:tcPr>
            <w:tcW w:w="1269" w:type="dxa"/>
            <w:tcBorders>
              <w:top w:val="nil"/>
              <w:left w:val="nil"/>
              <w:bottom w:val="single" w:sz="4" w:space="0" w:color="auto"/>
              <w:right w:val="single" w:sz="4" w:space="0" w:color="auto"/>
            </w:tcBorders>
            <w:shd w:val="clear" w:color="000000" w:fill="FFFFFF"/>
            <w:vAlign w:val="center"/>
            <w:hideMark/>
          </w:tcPr>
          <w:p w14:paraId="2D738BC7" w14:textId="77777777" w:rsidR="00E423D5" w:rsidRPr="00124B28" w:rsidRDefault="00E423D5" w:rsidP="00E423D5">
            <w:pPr>
              <w:jc w:val="right"/>
              <w:rPr>
                <w:rFonts w:eastAsia="Times New Roman"/>
                <w:color w:val="000000"/>
                <w:sz w:val="14"/>
                <w:szCs w:val="14"/>
              </w:rPr>
            </w:pPr>
            <w:r w:rsidRPr="00124B28">
              <w:rPr>
                <w:rFonts w:eastAsia="Times New Roman"/>
                <w:bCs/>
                <w:color w:val="000000"/>
                <w:sz w:val="14"/>
                <w:szCs w:val="14"/>
              </w:rPr>
              <w:t> </w:t>
            </w:r>
          </w:p>
        </w:tc>
        <w:tc>
          <w:tcPr>
            <w:tcW w:w="1114" w:type="dxa"/>
            <w:tcBorders>
              <w:top w:val="nil"/>
              <w:left w:val="nil"/>
              <w:bottom w:val="single" w:sz="4" w:space="0" w:color="auto"/>
              <w:right w:val="single" w:sz="8" w:space="0" w:color="auto"/>
            </w:tcBorders>
            <w:shd w:val="clear" w:color="000000" w:fill="FFFFFF"/>
            <w:vAlign w:val="center"/>
            <w:hideMark/>
          </w:tcPr>
          <w:p w14:paraId="44C62C08" w14:textId="77777777" w:rsidR="00E423D5" w:rsidRPr="00124B28" w:rsidRDefault="00E423D5" w:rsidP="00E423D5">
            <w:pPr>
              <w:jc w:val="right"/>
              <w:rPr>
                <w:rFonts w:eastAsia="Times New Roman"/>
                <w:color w:val="000000"/>
                <w:sz w:val="14"/>
                <w:szCs w:val="14"/>
              </w:rPr>
            </w:pPr>
            <w:r w:rsidRPr="00124B28">
              <w:rPr>
                <w:rFonts w:eastAsia="Times New Roman"/>
                <w:bCs/>
                <w:color w:val="000000"/>
                <w:sz w:val="14"/>
                <w:szCs w:val="14"/>
              </w:rPr>
              <w:t> </w:t>
            </w:r>
          </w:p>
        </w:tc>
      </w:tr>
      <w:tr w:rsidR="00E423D5" w:rsidRPr="00124B28" w14:paraId="53FB5436" w14:textId="77777777" w:rsidTr="00156E3C">
        <w:trPr>
          <w:trHeight w:val="525"/>
          <w:jc w:val="center"/>
        </w:trPr>
        <w:tc>
          <w:tcPr>
            <w:tcW w:w="1876" w:type="dxa"/>
            <w:tcBorders>
              <w:top w:val="nil"/>
              <w:left w:val="single" w:sz="8" w:space="0" w:color="auto"/>
              <w:bottom w:val="single" w:sz="4" w:space="0" w:color="auto"/>
              <w:right w:val="single" w:sz="4" w:space="0" w:color="auto"/>
            </w:tcBorders>
            <w:shd w:val="clear" w:color="auto" w:fill="auto"/>
            <w:vAlign w:val="center"/>
            <w:hideMark/>
          </w:tcPr>
          <w:p w14:paraId="26EF7B42" w14:textId="77777777" w:rsidR="00E423D5" w:rsidRPr="00124B28" w:rsidRDefault="00E423D5" w:rsidP="00E423D5">
            <w:pPr>
              <w:jc w:val="both"/>
              <w:rPr>
                <w:rFonts w:eastAsia="Times New Roman"/>
                <w:color w:val="000000"/>
                <w:sz w:val="14"/>
                <w:szCs w:val="14"/>
              </w:rPr>
            </w:pPr>
            <w:r w:rsidRPr="00124B28">
              <w:rPr>
                <w:rFonts w:eastAsia="Times New Roman"/>
                <w:color w:val="000000"/>
                <w:sz w:val="14"/>
                <w:szCs w:val="14"/>
              </w:rPr>
              <w:t>Aporte ordinario vigencias futuras (Acta CONFIS 26 del</w:t>
            </w:r>
            <w:r>
              <w:rPr>
                <w:rFonts w:eastAsia="Times New Roman"/>
                <w:color w:val="000000"/>
                <w:sz w:val="14"/>
                <w:szCs w:val="14"/>
              </w:rPr>
              <w:t xml:space="preserve"> 14 </w:t>
            </w:r>
            <w:r w:rsidRPr="00124B28">
              <w:rPr>
                <w:rFonts w:eastAsia="Times New Roman"/>
                <w:color w:val="000000"/>
                <w:sz w:val="14"/>
                <w:szCs w:val="14"/>
              </w:rPr>
              <w:t>de</w:t>
            </w:r>
            <w:r>
              <w:rPr>
                <w:rFonts w:eastAsia="Times New Roman"/>
                <w:color w:val="000000"/>
                <w:sz w:val="14"/>
                <w:szCs w:val="14"/>
              </w:rPr>
              <w:t xml:space="preserve"> </w:t>
            </w:r>
            <w:r w:rsidRPr="00124B28">
              <w:rPr>
                <w:rFonts w:eastAsia="Times New Roman"/>
                <w:color w:val="000000"/>
                <w:sz w:val="14"/>
                <w:szCs w:val="14"/>
              </w:rPr>
              <w:t>diciembre</w:t>
            </w:r>
            <w:r>
              <w:rPr>
                <w:rFonts w:eastAsia="Times New Roman"/>
                <w:color w:val="000000"/>
                <w:sz w:val="14"/>
                <w:szCs w:val="14"/>
              </w:rPr>
              <w:t xml:space="preserve"> </w:t>
            </w:r>
            <w:r w:rsidRPr="00124B28">
              <w:rPr>
                <w:rFonts w:eastAsia="Times New Roman"/>
                <w:color w:val="000000"/>
                <w:sz w:val="14"/>
                <w:szCs w:val="14"/>
              </w:rPr>
              <w:t>de</w:t>
            </w:r>
            <w:r>
              <w:rPr>
                <w:rFonts w:eastAsia="Times New Roman"/>
                <w:color w:val="000000"/>
                <w:sz w:val="14"/>
                <w:szCs w:val="14"/>
              </w:rPr>
              <w:t xml:space="preserve"> </w:t>
            </w:r>
            <w:r w:rsidRPr="00124B28">
              <w:rPr>
                <w:rFonts w:eastAsia="Times New Roman"/>
                <w:color w:val="000000"/>
                <w:sz w:val="14"/>
                <w:szCs w:val="14"/>
              </w:rPr>
              <w:t>2022)</w:t>
            </w:r>
          </w:p>
        </w:tc>
        <w:tc>
          <w:tcPr>
            <w:tcW w:w="1347" w:type="dxa"/>
            <w:tcBorders>
              <w:top w:val="nil"/>
              <w:left w:val="nil"/>
              <w:bottom w:val="single" w:sz="4" w:space="0" w:color="auto"/>
              <w:right w:val="single" w:sz="4" w:space="0" w:color="auto"/>
            </w:tcBorders>
            <w:shd w:val="clear" w:color="000000" w:fill="FFFFFF"/>
            <w:noWrap/>
            <w:vAlign w:val="center"/>
            <w:hideMark/>
          </w:tcPr>
          <w:p w14:paraId="4C5865B3" w14:textId="77777777" w:rsidR="00E423D5" w:rsidRPr="00124B28" w:rsidRDefault="00E423D5" w:rsidP="00E423D5">
            <w:pPr>
              <w:jc w:val="right"/>
              <w:rPr>
                <w:rFonts w:eastAsia="Times New Roman"/>
                <w:color w:val="000000"/>
                <w:sz w:val="14"/>
                <w:szCs w:val="14"/>
              </w:rPr>
            </w:pPr>
            <w:r w:rsidRPr="00124B28">
              <w:rPr>
                <w:rFonts w:eastAsia="Times New Roman"/>
                <w:color w:val="000000"/>
                <w:sz w:val="14"/>
                <w:szCs w:val="14"/>
              </w:rPr>
              <w:t> </w:t>
            </w:r>
          </w:p>
        </w:tc>
        <w:tc>
          <w:tcPr>
            <w:tcW w:w="1192" w:type="dxa"/>
            <w:tcBorders>
              <w:top w:val="nil"/>
              <w:left w:val="nil"/>
              <w:bottom w:val="single" w:sz="4" w:space="0" w:color="auto"/>
              <w:right w:val="single" w:sz="4" w:space="0" w:color="auto"/>
            </w:tcBorders>
            <w:shd w:val="clear" w:color="000000" w:fill="FFFFFF"/>
            <w:noWrap/>
            <w:vAlign w:val="center"/>
            <w:hideMark/>
          </w:tcPr>
          <w:p w14:paraId="76425762" w14:textId="77777777" w:rsidR="00E423D5" w:rsidRPr="00124B28" w:rsidRDefault="00E423D5" w:rsidP="00E423D5">
            <w:pPr>
              <w:jc w:val="right"/>
              <w:rPr>
                <w:rFonts w:eastAsia="Times New Roman"/>
                <w:color w:val="000000"/>
                <w:sz w:val="14"/>
                <w:szCs w:val="14"/>
              </w:rPr>
            </w:pPr>
            <w:r w:rsidRPr="00124B28">
              <w:rPr>
                <w:rFonts w:eastAsia="Times New Roman"/>
                <w:color w:val="000000"/>
                <w:sz w:val="14"/>
                <w:szCs w:val="14"/>
              </w:rPr>
              <w:t>$10.000.000.000</w:t>
            </w:r>
          </w:p>
        </w:tc>
        <w:tc>
          <w:tcPr>
            <w:tcW w:w="1192" w:type="dxa"/>
            <w:tcBorders>
              <w:top w:val="nil"/>
              <w:left w:val="nil"/>
              <w:bottom w:val="single" w:sz="4" w:space="0" w:color="auto"/>
              <w:right w:val="single" w:sz="4" w:space="0" w:color="auto"/>
            </w:tcBorders>
            <w:shd w:val="clear" w:color="000000" w:fill="FFFFFF"/>
            <w:noWrap/>
            <w:vAlign w:val="center"/>
            <w:hideMark/>
          </w:tcPr>
          <w:p w14:paraId="6A1F3A8B" w14:textId="77777777" w:rsidR="00E423D5" w:rsidRPr="00124B28" w:rsidRDefault="00E423D5" w:rsidP="00E423D5">
            <w:pPr>
              <w:jc w:val="right"/>
              <w:rPr>
                <w:rFonts w:eastAsia="Times New Roman"/>
                <w:color w:val="000000"/>
                <w:sz w:val="14"/>
                <w:szCs w:val="14"/>
              </w:rPr>
            </w:pPr>
            <w:r>
              <w:rPr>
                <w:rFonts w:eastAsia="Times New Roman"/>
                <w:color w:val="000000"/>
                <w:sz w:val="14"/>
                <w:szCs w:val="14"/>
              </w:rPr>
              <w:t>$</w:t>
            </w:r>
            <w:r w:rsidRPr="004A5192">
              <w:rPr>
                <w:rFonts w:eastAsia="Times New Roman"/>
                <w:color w:val="000000"/>
                <w:sz w:val="14"/>
                <w:szCs w:val="14"/>
              </w:rPr>
              <w:t>13.252.671.000</w:t>
            </w:r>
          </w:p>
        </w:tc>
        <w:tc>
          <w:tcPr>
            <w:tcW w:w="1269" w:type="dxa"/>
            <w:tcBorders>
              <w:top w:val="nil"/>
              <w:left w:val="nil"/>
              <w:bottom w:val="single" w:sz="4" w:space="0" w:color="auto"/>
              <w:right w:val="single" w:sz="4" w:space="0" w:color="auto"/>
            </w:tcBorders>
            <w:shd w:val="clear" w:color="000000" w:fill="FFFFFF"/>
            <w:noWrap/>
            <w:vAlign w:val="center"/>
            <w:hideMark/>
          </w:tcPr>
          <w:p w14:paraId="4B15CEB9" w14:textId="5514E24F" w:rsidR="00E423D5" w:rsidRPr="000559E6" w:rsidRDefault="00E423D5" w:rsidP="00E423D5">
            <w:pPr>
              <w:jc w:val="right"/>
              <w:rPr>
                <w:rFonts w:eastAsia="Times New Roman"/>
                <w:color w:val="000000"/>
                <w:sz w:val="14"/>
                <w:szCs w:val="14"/>
              </w:rPr>
            </w:pPr>
            <w:r w:rsidRPr="000559E6">
              <w:rPr>
                <w:rFonts w:eastAsia="Times New Roman"/>
                <w:color w:val="000000"/>
                <w:sz w:val="14"/>
                <w:szCs w:val="14"/>
              </w:rPr>
              <w:t>$100.000.000.000</w:t>
            </w:r>
          </w:p>
        </w:tc>
        <w:tc>
          <w:tcPr>
            <w:tcW w:w="1269" w:type="dxa"/>
            <w:tcBorders>
              <w:top w:val="nil"/>
              <w:left w:val="nil"/>
              <w:bottom w:val="single" w:sz="4" w:space="0" w:color="auto"/>
              <w:right w:val="single" w:sz="4" w:space="0" w:color="auto"/>
            </w:tcBorders>
            <w:shd w:val="clear" w:color="000000" w:fill="FFFFFF"/>
            <w:vAlign w:val="center"/>
            <w:hideMark/>
          </w:tcPr>
          <w:p w14:paraId="1EA85C16" w14:textId="77777777" w:rsidR="00E423D5" w:rsidRPr="00124B28" w:rsidRDefault="00E423D5" w:rsidP="00E423D5">
            <w:pPr>
              <w:jc w:val="right"/>
              <w:rPr>
                <w:rFonts w:eastAsia="Times New Roman"/>
                <w:color w:val="000000"/>
                <w:sz w:val="14"/>
                <w:szCs w:val="14"/>
              </w:rPr>
            </w:pPr>
            <w:r w:rsidRPr="005E046A">
              <w:rPr>
                <w:rFonts w:eastAsia="Times New Roman"/>
                <w:bCs/>
                <w:color w:val="000000"/>
                <w:sz w:val="14"/>
                <w:szCs w:val="14"/>
              </w:rPr>
              <w:t>$146.287.150.680</w:t>
            </w:r>
          </w:p>
        </w:tc>
        <w:tc>
          <w:tcPr>
            <w:tcW w:w="1114" w:type="dxa"/>
            <w:tcBorders>
              <w:top w:val="nil"/>
              <w:left w:val="nil"/>
              <w:bottom w:val="single" w:sz="4" w:space="0" w:color="auto"/>
              <w:right w:val="single" w:sz="8" w:space="0" w:color="auto"/>
            </w:tcBorders>
            <w:shd w:val="clear" w:color="000000" w:fill="FFFFFF"/>
            <w:vAlign w:val="center"/>
            <w:hideMark/>
          </w:tcPr>
          <w:p w14:paraId="3BE17968" w14:textId="77777777" w:rsidR="00E423D5" w:rsidRPr="00124B28" w:rsidRDefault="00E423D5" w:rsidP="00E423D5">
            <w:pPr>
              <w:jc w:val="right"/>
              <w:rPr>
                <w:rFonts w:eastAsia="Times New Roman"/>
                <w:color w:val="000000"/>
                <w:sz w:val="14"/>
                <w:szCs w:val="14"/>
              </w:rPr>
            </w:pPr>
            <w:r w:rsidRPr="00124B28">
              <w:rPr>
                <w:rFonts w:eastAsia="Times New Roman"/>
                <w:bCs/>
                <w:color w:val="000000"/>
                <w:sz w:val="14"/>
                <w:szCs w:val="14"/>
              </w:rPr>
              <w:t>$2.805.261.719</w:t>
            </w:r>
          </w:p>
        </w:tc>
      </w:tr>
      <w:tr w:rsidR="00E423D5" w:rsidRPr="00124B28" w14:paraId="46880EAD" w14:textId="77777777" w:rsidTr="00156E3C">
        <w:trPr>
          <w:trHeight w:val="315"/>
          <w:jc w:val="center"/>
        </w:trPr>
        <w:tc>
          <w:tcPr>
            <w:tcW w:w="1876" w:type="dxa"/>
            <w:tcBorders>
              <w:top w:val="nil"/>
              <w:left w:val="single" w:sz="8" w:space="0" w:color="auto"/>
              <w:bottom w:val="single" w:sz="8" w:space="0" w:color="auto"/>
              <w:right w:val="single" w:sz="4" w:space="0" w:color="auto"/>
            </w:tcBorders>
            <w:shd w:val="clear" w:color="000000" w:fill="DEEAF6"/>
            <w:vAlign w:val="center"/>
            <w:hideMark/>
          </w:tcPr>
          <w:p w14:paraId="6BDA75C1" w14:textId="77777777" w:rsidR="00E423D5" w:rsidRPr="00124B28" w:rsidRDefault="00E423D5" w:rsidP="00E423D5">
            <w:pPr>
              <w:jc w:val="center"/>
              <w:rPr>
                <w:rFonts w:eastAsia="Times New Roman"/>
                <w:b/>
                <w:bCs/>
                <w:color w:val="000000"/>
                <w:sz w:val="14"/>
                <w:szCs w:val="14"/>
              </w:rPr>
            </w:pPr>
            <w:proofErr w:type="gramStart"/>
            <w:r w:rsidRPr="00124B28">
              <w:rPr>
                <w:rFonts w:eastAsia="Times New Roman"/>
                <w:b/>
                <w:bCs/>
                <w:color w:val="000000"/>
                <w:sz w:val="14"/>
                <w:szCs w:val="14"/>
              </w:rPr>
              <w:t>Total</w:t>
            </w:r>
            <w:proofErr w:type="gramEnd"/>
            <w:r w:rsidRPr="00124B28">
              <w:rPr>
                <w:rFonts w:eastAsia="Times New Roman"/>
                <w:b/>
                <w:bCs/>
                <w:color w:val="000000"/>
                <w:sz w:val="14"/>
                <w:szCs w:val="14"/>
              </w:rPr>
              <w:t xml:space="preserve"> Financiación</w:t>
            </w:r>
          </w:p>
        </w:tc>
        <w:tc>
          <w:tcPr>
            <w:tcW w:w="1347" w:type="dxa"/>
            <w:tcBorders>
              <w:top w:val="nil"/>
              <w:left w:val="nil"/>
              <w:bottom w:val="single" w:sz="8" w:space="0" w:color="auto"/>
              <w:right w:val="single" w:sz="4" w:space="0" w:color="auto"/>
            </w:tcBorders>
            <w:shd w:val="clear" w:color="auto" w:fill="auto"/>
            <w:vAlign w:val="center"/>
            <w:hideMark/>
          </w:tcPr>
          <w:p w14:paraId="36E45AA9" w14:textId="77777777" w:rsidR="00E423D5" w:rsidRPr="00124B28" w:rsidRDefault="00E423D5" w:rsidP="00E423D5">
            <w:pPr>
              <w:jc w:val="right"/>
              <w:rPr>
                <w:rFonts w:eastAsia="Times New Roman"/>
                <w:color w:val="000000"/>
                <w:sz w:val="14"/>
                <w:szCs w:val="14"/>
              </w:rPr>
            </w:pPr>
            <w:r w:rsidRPr="00124B28">
              <w:rPr>
                <w:rFonts w:eastAsia="Times New Roman"/>
                <w:color w:val="000000"/>
                <w:sz w:val="14"/>
                <w:szCs w:val="14"/>
              </w:rPr>
              <w:t>$50.000.000.000</w:t>
            </w:r>
          </w:p>
        </w:tc>
        <w:tc>
          <w:tcPr>
            <w:tcW w:w="1192" w:type="dxa"/>
            <w:tcBorders>
              <w:top w:val="nil"/>
              <w:left w:val="nil"/>
              <w:bottom w:val="single" w:sz="8" w:space="0" w:color="auto"/>
              <w:right w:val="single" w:sz="4" w:space="0" w:color="auto"/>
            </w:tcBorders>
            <w:shd w:val="clear" w:color="auto" w:fill="auto"/>
            <w:vAlign w:val="center"/>
            <w:hideMark/>
          </w:tcPr>
          <w:p w14:paraId="7176CE72" w14:textId="77777777" w:rsidR="00E423D5" w:rsidRPr="00124B28" w:rsidRDefault="00E423D5" w:rsidP="00E423D5">
            <w:pPr>
              <w:jc w:val="right"/>
              <w:rPr>
                <w:rFonts w:eastAsia="Times New Roman"/>
                <w:color w:val="000000"/>
                <w:sz w:val="14"/>
                <w:szCs w:val="14"/>
              </w:rPr>
            </w:pPr>
            <w:r w:rsidRPr="00124B28">
              <w:rPr>
                <w:rFonts w:eastAsia="Times New Roman"/>
                <w:color w:val="000000"/>
                <w:sz w:val="14"/>
                <w:szCs w:val="14"/>
              </w:rPr>
              <w:t>$11.312.000.000</w:t>
            </w:r>
          </w:p>
        </w:tc>
        <w:tc>
          <w:tcPr>
            <w:tcW w:w="1192" w:type="dxa"/>
            <w:tcBorders>
              <w:top w:val="nil"/>
              <w:left w:val="nil"/>
              <w:bottom w:val="single" w:sz="8" w:space="0" w:color="auto"/>
              <w:right w:val="single" w:sz="4" w:space="0" w:color="auto"/>
            </w:tcBorders>
            <w:shd w:val="clear" w:color="auto" w:fill="auto"/>
            <w:vAlign w:val="center"/>
            <w:hideMark/>
          </w:tcPr>
          <w:p w14:paraId="75DAEF6F" w14:textId="77777777" w:rsidR="00E423D5" w:rsidRPr="00124B28" w:rsidRDefault="00E423D5" w:rsidP="00E423D5">
            <w:pPr>
              <w:jc w:val="center"/>
              <w:rPr>
                <w:rFonts w:eastAsia="Times New Roman"/>
                <w:color w:val="000000"/>
                <w:sz w:val="14"/>
                <w:szCs w:val="14"/>
              </w:rPr>
            </w:pPr>
            <w:r w:rsidRPr="004A5192">
              <w:rPr>
                <w:rFonts w:eastAsia="Times New Roman"/>
                <w:color w:val="000000"/>
                <w:sz w:val="14"/>
                <w:szCs w:val="14"/>
              </w:rPr>
              <w:t>$13.406.344.333</w:t>
            </w:r>
          </w:p>
        </w:tc>
        <w:tc>
          <w:tcPr>
            <w:tcW w:w="1269" w:type="dxa"/>
            <w:tcBorders>
              <w:top w:val="nil"/>
              <w:left w:val="nil"/>
              <w:bottom w:val="single" w:sz="8" w:space="0" w:color="auto"/>
              <w:right w:val="single" w:sz="4" w:space="0" w:color="auto"/>
            </w:tcBorders>
            <w:shd w:val="clear" w:color="auto" w:fill="auto"/>
            <w:vAlign w:val="center"/>
            <w:hideMark/>
          </w:tcPr>
          <w:p w14:paraId="6B20779F" w14:textId="140C2FCE" w:rsidR="00E423D5" w:rsidRPr="000559E6" w:rsidRDefault="00E423D5" w:rsidP="00E423D5">
            <w:pPr>
              <w:jc w:val="center"/>
              <w:rPr>
                <w:rFonts w:eastAsia="Times New Roman"/>
                <w:color w:val="000000"/>
                <w:sz w:val="14"/>
                <w:szCs w:val="14"/>
              </w:rPr>
            </w:pPr>
            <w:r w:rsidRPr="000559E6">
              <w:rPr>
                <w:rFonts w:eastAsia="Times New Roman"/>
                <w:color w:val="000000"/>
                <w:sz w:val="14"/>
                <w:szCs w:val="14"/>
              </w:rPr>
              <w:t>$</w:t>
            </w:r>
            <w:r w:rsidR="003A67CE">
              <w:rPr>
                <w:rFonts w:eastAsia="Times New Roman"/>
                <w:color w:val="000000"/>
                <w:sz w:val="14"/>
                <w:szCs w:val="14"/>
              </w:rPr>
              <w:t>1</w:t>
            </w:r>
            <w:r w:rsidR="003A67CE" w:rsidRPr="003A67CE">
              <w:rPr>
                <w:rFonts w:eastAsia="Times New Roman"/>
                <w:color w:val="000000"/>
                <w:sz w:val="14"/>
                <w:szCs w:val="14"/>
              </w:rPr>
              <w:t>30.238.136.871</w:t>
            </w:r>
          </w:p>
        </w:tc>
        <w:tc>
          <w:tcPr>
            <w:tcW w:w="1269" w:type="dxa"/>
            <w:tcBorders>
              <w:top w:val="nil"/>
              <w:left w:val="nil"/>
              <w:bottom w:val="single" w:sz="8" w:space="0" w:color="auto"/>
              <w:right w:val="single" w:sz="4" w:space="0" w:color="auto"/>
            </w:tcBorders>
            <w:shd w:val="clear" w:color="auto" w:fill="auto"/>
            <w:vAlign w:val="center"/>
            <w:hideMark/>
          </w:tcPr>
          <w:p w14:paraId="579A0A2B" w14:textId="77777777" w:rsidR="00E423D5" w:rsidRPr="00124B28" w:rsidRDefault="00E423D5" w:rsidP="00E423D5">
            <w:pPr>
              <w:jc w:val="center"/>
              <w:rPr>
                <w:rFonts w:eastAsia="Times New Roman"/>
                <w:color w:val="000000"/>
                <w:sz w:val="14"/>
                <w:szCs w:val="14"/>
              </w:rPr>
            </w:pPr>
            <w:r w:rsidRPr="005E046A">
              <w:rPr>
                <w:rFonts w:eastAsia="Times New Roman"/>
                <w:color w:val="000000"/>
                <w:sz w:val="14"/>
                <w:szCs w:val="14"/>
              </w:rPr>
              <w:t>$146.287.150.680</w:t>
            </w:r>
          </w:p>
        </w:tc>
        <w:tc>
          <w:tcPr>
            <w:tcW w:w="1114" w:type="dxa"/>
            <w:tcBorders>
              <w:top w:val="nil"/>
              <w:left w:val="nil"/>
              <w:bottom w:val="single" w:sz="8" w:space="0" w:color="auto"/>
              <w:right w:val="single" w:sz="8" w:space="0" w:color="auto"/>
            </w:tcBorders>
            <w:shd w:val="clear" w:color="000000" w:fill="FFFFFF"/>
            <w:vAlign w:val="center"/>
            <w:hideMark/>
          </w:tcPr>
          <w:p w14:paraId="4B84F3C1" w14:textId="77777777" w:rsidR="00E423D5" w:rsidRPr="00124B28" w:rsidRDefault="00E423D5" w:rsidP="00E423D5">
            <w:pPr>
              <w:jc w:val="right"/>
              <w:rPr>
                <w:rFonts w:eastAsia="Times New Roman"/>
                <w:color w:val="000000"/>
                <w:sz w:val="14"/>
                <w:szCs w:val="14"/>
              </w:rPr>
            </w:pPr>
            <w:r w:rsidRPr="00124B28">
              <w:rPr>
                <w:rFonts w:eastAsia="Times New Roman"/>
                <w:bCs/>
                <w:color w:val="000000"/>
                <w:sz w:val="14"/>
                <w:szCs w:val="14"/>
              </w:rPr>
              <w:t>$2.805.261.719</w:t>
            </w:r>
          </w:p>
        </w:tc>
      </w:tr>
    </w:tbl>
    <w:p w14:paraId="6CA7DB56" w14:textId="77777777" w:rsidR="000F7D93" w:rsidRDefault="000F7D93" w:rsidP="000F7D93"/>
    <w:p w14:paraId="062434BA" w14:textId="77777777" w:rsidR="006C5BCA" w:rsidRDefault="006C5BCA" w:rsidP="00826BB5">
      <w:pPr>
        <w:jc w:val="both"/>
        <w:rPr>
          <w:i/>
          <w:color w:val="808080"/>
          <w:sz w:val="22"/>
          <w:szCs w:val="22"/>
        </w:rPr>
      </w:pPr>
    </w:p>
    <w:p w14:paraId="49F2A5C1" w14:textId="77777777" w:rsidR="00796A9F" w:rsidRDefault="00796A9F" w:rsidP="00826BB5">
      <w:pPr>
        <w:jc w:val="both"/>
        <w:rPr>
          <w:i/>
          <w:color w:val="808080"/>
          <w:sz w:val="22"/>
          <w:szCs w:val="22"/>
        </w:rPr>
      </w:pPr>
    </w:p>
    <w:p w14:paraId="40843506" w14:textId="0088ACDA" w:rsidR="00B2681A" w:rsidRDefault="0036193A" w:rsidP="0036193A">
      <w:pPr>
        <w:jc w:val="both"/>
        <w:rPr>
          <w:sz w:val="22"/>
          <w:szCs w:val="22"/>
        </w:rPr>
      </w:pPr>
      <w:r w:rsidRPr="00686763">
        <w:rPr>
          <w:sz w:val="22"/>
          <w:szCs w:val="22"/>
        </w:rPr>
        <w:t xml:space="preserve">Esta modificación se realiza </w:t>
      </w:r>
      <w:r w:rsidR="00DE6A8F">
        <w:rPr>
          <w:sz w:val="22"/>
          <w:szCs w:val="22"/>
        </w:rPr>
        <w:t xml:space="preserve">con el fin de asignar los recursos disponibles para la vigencia 2025, específicamente </w:t>
      </w:r>
      <w:r w:rsidR="006A61BB">
        <w:rPr>
          <w:sz w:val="22"/>
          <w:szCs w:val="22"/>
        </w:rPr>
        <w:t>a la meta</w:t>
      </w:r>
      <w:r w:rsidR="00A13E5F">
        <w:rPr>
          <w:sz w:val="22"/>
          <w:szCs w:val="22"/>
        </w:rPr>
        <w:t xml:space="preserve"> </w:t>
      </w:r>
      <w:r w:rsidR="00B2681A">
        <w:rPr>
          <w:sz w:val="22"/>
          <w:szCs w:val="22"/>
        </w:rPr>
        <w:t xml:space="preserve">4. </w:t>
      </w:r>
      <w:r w:rsidR="00B2681A" w:rsidRPr="00B2681A">
        <w:rPr>
          <w:sz w:val="22"/>
          <w:szCs w:val="22"/>
        </w:rPr>
        <w:t>Avanzar en el 100% del cronograma establecido para la producción y generación de biológicos (envasado y llenado) en Bogotá D.C para contribuir a la soberanía sanitaria</w:t>
      </w:r>
      <w:r w:rsidR="00785477">
        <w:rPr>
          <w:sz w:val="22"/>
          <w:szCs w:val="22"/>
        </w:rPr>
        <w:t xml:space="preserve">. De acuerdo con la </w:t>
      </w:r>
      <w:r w:rsidR="00F75AF6">
        <w:rPr>
          <w:sz w:val="22"/>
          <w:szCs w:val="22"/>
        </w:rPr>
        <w:t xml:space="preserve">proyección del proyecto de inversión estas metas inician desde la vigencia 2025 y requieren contar con los recursos </w:t>
      </w:r>
      <w:r w:rsidR="00875D72">
        <w:rPr>
          <w:sz w:val="22"/>
          <w:szCs w:val="22"/>
        </w:rPr>
        <w:t>para su cumplimiento.</w:t>
      </w:r>
    </w:p>
    <w:p w14:paraId="4402BC36" w14:textId="77777777" w:rsidR="006A61BB" w:rsidRDefault="006A61BB" w:rsidP="0036193A">
      <w:pPr>
        <w:jc w:val="both"/>
        <w:rPr>
          <w:sz w:val="22"/>
          <w:szCs w:val="22"/>
        </w:rPr>
      </w:pPr>
    </w:p>
    <w:p w14:paraId="3BA1B926" w14:textId="55EDC920" w:rsidR="00C235CD" w:rsidRDefault="00C235CD" w:rsidP="008D1C7E">
      <w:pPr>
        <w:jc w:val="both"/>
        <w:rPr>
          <w:color w:val="000000" w:themeColor="text1"/>
          <w:sz w:val="22"/>
          <w:szCs w:val="22"/>
        </w:rPr>
      </w:pPr>
      <w:r w:rsidRPr="005258FE">
        <w:rPr>
          <w:color w:val="000000" w:themeColor="text1"/>
          <w:sz w:val="22"/>
          <w:szCs w:val="22"/>
        </w:rPr>
        <w:t xml:space="preserve">Es importante mencionar que </w:t>
      </w:r>
      <w:r>
        <w:rPr>
          <w:color w:val="000000" w:themeColor="text1"/>
          <w:sz w:val="22"/>
          <w:szCs w:val="22"/>
        </w:rPr>
        <w:t xml:space="preserve">el </w:t>
      </w:r>
      <w:r w:rsidRPr="005258FE">
        <w:rPr>
          <w:color w:val="000000" w:themeColor="text1"/>
          <w:sz w:val="22"/>
          <w:szCs w:val="22"/>
        </w:rPr>
        <w:t xml:space="preserve">traslado entre </w:t>
      </w:r>
      <w:r w:rsidR="00922409">
        <w:rPr>
          <w:color w:val="000000" w:themeColor="text1"/>
          <w:sz w:val="22"/>
          <w:szCs w:val="22"/>
        </w:rPr>
        <w:t xml:space="preserve">actividades y </w:t>
      </w:r>
      <w:r w:rsidRPr="005258FE">
        <w:rPr>
          <w:color w:val="000000" w:themeColor="text1"/>
          <w:sz w:val="22"/>
          <w:szCs w:val="22"/>
        </w:rPr>
        <w:t>auxiliares no afecta la</w:t>
      </w:r>
      <w:r>
        <w:rPr>
          <w:color w:val="000000" w:themeColor="text1"/>
          <w:sz w:val="22"/>
          <w:szCs w:val="22"/>
        </w:rPr>
        <w:t xml:space="preserve"> </w:t>
      </w:r>
      <w:r w:rsidRPr="005258FE">
        <w:rPr>
          <w:color w:val="000000" w:themeColor="text1"/>
          <w:sz w:val="22"/>
          <w:szCs w:val="22"/>
        </w:rPr>
        <w:t xml:space="preserve">magnitud física del proyecto de inversión. </w:t>
      </w:r>
    </w:p>
    <w:p w14:paraId="59BEFE64" w14:textId="77777777" w:rsidR="006C5BCA" w:rsidRPr="00824BF6" w:rsidRDefault="006C5BCA" w:rsidP="00826BB5">
      <w:pPr>
        <w:jc w:val="both"/>
        <w:rPr>
          <w:i/>
          <w:color w:val="808080"/>
          <w:sz w:val="22"/>
          <w:szCs w:val="22"/>
        </w:rPr>
      </w:pPr>
    </w:p>
    <w:p w14:paraId="2F7018CB" w14:textId="0669F78F" w:rsidR="003650AE" w:rsidRPr="00824BF6" w:rsidRDefault="003650AE" w:rsidP="00826BB5">
      <w:pPr>
        <w:jc w:val="both"/>
        <w:rPr>
          <w:i/>
          <w:color w:val="808080"/>
          <w:sz w:val="22"/>
          <w:szCs w:val="22"/>
        </w:rPr>
      </w:pPr>
    </w:p>
    <w:p w14:paraId="39AB1566" w14:textId="77777777" w:rsidR="00AA505A" w:rsidRPr="00824BF6" w:rsidRDefault="00AA505A" w:rsidP="00826BB5">
      <w:pPr>
        <w:jc w:val="both"/>
        <w:rPr>
          <w:color w:val="808080"/>
          <w:sz w:val="22"/>
          <w:szCs w:val="22"/>
        </w:rPr>
      </w:pPr>
      <w:r w:rsidRPr="00824BF6">
        <w:rPr>
          <w:color w:val="808080"/>
          <w:sz w:val="22"/>
          <w:szCs w:val="22"/>
        </w:rPr>
        <w:t>____________________________________</w:t>
      </w:r>
    </w:p>
    <w:p w14:paraId="7360C7CA" w14:textId="63CEDD4C" w:rsidR="00AA505A" w:rsidRDefault="006C5BCA" w:rsidP="00AA505A">
      <w:pPr>
        <w:jc w:val="both"/>
        <w:rPr>
          <w:sz w:val="22"/>
          <w:szCs w:val="22"/>
        </w:rPr>
      </w:pPr>
      <w:r>
        <w:rPr>
          <w:sz w:val="22"/>
          <w:szCs w:val="22"/>
        </w:rPr>
        <w:t>JULIÁN ALFREDO FERNÁNDEZ NIÑO</w:t>
      </w:r>
    </w:p>
    <w:p w14:paraId="5DB270B7" w14:textId="219AF69F" w:rsidR="00207BD8" w:rsidRPr="00824BF6" w:rsidRDefault="00207BD8" w:rsidP="00AA505A">
      <w:pPr>
        <w:jc w:val="both"/>
        <w:rPr>
          <w:sz w:val="22"/>
          <w:szCs w:val="22"/>
        </w:rPr>
      </w:pPr>
      <w:r>
        <w:rPr>
          <w:rFonts w:eastAsia="Times New Roman"/>
          <w:color w:val="000000"/>
        </w:rPr>
        <w:t>Subsecretario de Salud Pública</w:t>
      </w:r>
    </w:p>
    <w:p w14:paraId="62DD7323" w14:textId="77777777" w:rsidR="00AA505A" w:rsidRPr="00824BF6" w:rsidRDefault="00AA505A" w:rsidP="00AA505A">
      <w:pPr>
        <w:jc w:val="both"/>
        <w:rPr>
          <w:sz w:val="22"/>
          <w:szCs w:val="22"/>
        </w:rPr>
      </w:pPr>
    </w:p>
    <w:p w14:paraId="2BE7B86B" w14:textId="77777777" w:rsidR="007E2BB6" w:rsidRPr="00824BF6" w:rsidRDefault="007E2BB6" w:rsidP="00AA505A">
      <w:pPr>
        <w:jc w:val="both"/>
        <w:rPr>
          <w:sz w:val="22"/>
          <w:szCs w:val="22"/>
        </w:rPr>
      </w:pPr>
    </w:p>
    <w:p w14:paraId="367C92E4" w14:textId="227E5B01" w:rsidR="009F58BD" w:rsidRPr="007E2BB6" w:rsidRDefault="00AA505A" w:rsidP="00D36D3B">
      <w:pPr>
        <w:jc w:val="both"/>
        <w:rPr>
          <w:sz w:val="20"/>
          <w:szCs w:val="20"/>
        </w:rPr>
      </w:pPr>
      <w:r w:rsidRPr="007E2BB6">
        <w:rPr>
          <w:sz w:val="20"/>
          <w:szCs w:val="20"/>
        </w:rPr>
        <w:t>Fecha:</w:t>
      </w:r>
      <w:r w:rsidR="00824BF6" w:rsidRPr="007E2BB6">
        <w:rPr>
          <w:sz w:val="20"/>
          <w:szCs w:val="20"/>
        </w:rPr>
        <w:t xml:space="preserve"> </w:t>
      </w:r>
      <w:r w:rsidR="00877A5F">
        <w:rPr>
          <w:sz w:val="20"/>
          <w:szCs w:val="20"/>
        </w:rPr>
        <w:t>Agosto</w:t>
      </w:r>
      <w:bookmarkStart w:id="2" w:name="_GoBack"/>
      <w:bookmarkEnd w:id="2"/>
      <w:r w:rsidR="008654CE">
        <w:rPr>
          <w:sz w:val="20"/>
          <w:szCs w:val="20"/>
        </w:rPr>
        <w:t xml:space="preserve"> 2025</w:t>
      </w:r>
    </w:p>
    <w:p w14:paraId="678B7120" w14:textId="77777777" w:rsidR="00C93596" w:rsidRPr="00824BF6" w:rsidRDefault="00C93596" w:rsidP="003867D6">
      <w:pPr>
        <w:rPr>
          <w:sz w:val="22"/>
          <w:szCs w:val="22"/>
          <w:lang w:eastAsia="x-none"/>
        </w:rPr>
      </w:pPr>
    </w:p>
    <w:sectPr w:rsidR="00C93596" w:rsidRPr="00824BF6" w:rsidSect="00AF304F">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E5605" w14:textId="77777777" w:rsidR="00865B98" w:rsidRDefault="00865B98" w:rsidP="003E443D">
      <w:r>
        <w:separator/>
      </w:r>
    </w:p>
  </w:endnote>
  <w:endnote w:type="continuationSeparator" w:id="0">
    <w:p w14:paraId="414375D7" w14:textId="77777777" w:rsidR="00865B98" w:rsidRDefault="00865B98" w:rsidP="003E4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C115F" w14:textId="77777777" w:rsidR="00865B98" w:rsidRDefault="00865B98" w:rsidP="003E443D">
      <w:r>
        <w:separator/>
      </w:r>
    </w:p>
  </w:footnote>
  <w:footnote w:type="continuationSeparator" w:id="0">
    <w:p w14:paraId="0E6EB0C0" w14:textId="77777777" w:rsidR="00865B98" w:rsidRDefault="00865B98" w:rsidP="003E4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3" w:type="dxa"/>
      <w:jc w:val="center"/>
      <w:tblCellMar>
        <w:left w:w="70" w:type="dxa"/>
        <w:right w:w="70" w:type="dxa"/>
      </w:tblCellMar>
      <w:tblLook w:val="04A0" w:firstRow="1" w:lastRow="0" w:firstColumn="1" w:lastColumn="0" w:noHBand="0" w:noVBand="1"/>
    </w:tblPr>
    <w:tblGrid>
      <w:gridCol w:w="1856"/>
      <w:gridCol w:w="1133"/>
      <w:gridCol w:w="1918"/>
      <w:gridCol w:w="1127"/>
      <w:gridCol w:w="1195"/>
      <w:gridCol w:w="2124"/>
    </w:tblGrid>
    <w:tr w:rsidR="003E443D" w14:paraId="6B41A863" w14:textId="77777777" w:rsidTr="0095796E">
      <w:trPr>
        <w:trHeight w:val="983"/>
        <w:jc w:val="center"/>
      </w:trPr>
      <w:tc>
        <w:tcPr>
          <w:tcW w:w="1856" w:type="dxa"/>
          <w:vMerge w:val="restart"/>
          <w:tcBorders>
            <w:top w:val="single" w:sz="4" w:space="0" w:color="auto"/>
            <w:left w:val="single" w:sz="4" w:space="0" w:color="auto"/>
            <w:bottom w:val="single" w:sz="4" w:space="0" w:color="auto"/>
            <w:right w:val="single" w:sz="4" w:space="0" w:color="auto"/>
          </w:tcBorders>
          <w:vAlign w:val="center"/>
          <w:hideMark/>
        </w:tcPr>
        <w:p w14:paraId="0809C013" w14:textId="77777777" w:rsidR="003E443D" w:rsidRDefault="003E443D" w:rsidP="003E443D">
          <w:pPr>
            <w:rPr>
              <w:b/>
              <w:bCs/>
            </w:rPr>
          </w:pPr>
          <w:r>
            <w:rPr>
              <w:noProof/>
            </w:rPr>
            <w:drawing>
              <wp:anchor distT="0" distB="0" distL="114300" distR="114300" simplePos="0" relativeHeight="251660288" behindDoc="1" locked="0" layoutInCell="1" allowOverlap="1" wp14:anchorId="3209D84D" wp14:editId="3EBBC1AA">
                <wp:simplePos x="0" y="0"/>
                <wp:positionH relativeFrom="column">
                  <wp:posOffset>-1270</wp:posOffset>
                </wp:positionH>
                <wp:positionV relativeFrom="paragraph">
                  <wp:posOffset>-6350</wp:posOffset>
                </wp:positionV>
                <wp:extent cx="1084580" cy="1145540"/>
                <wp:effectExtent l="0" t="0" r="1270" b="0"/>
                <wp:wrapTight wrapText="bothSides">
                  <wp:wrapPolygon edited="0">
                    <wp:start x="0" y="0"/>
                    <wp:lineTo x="0" y="21193"/>
                    <wp:lineTo x="21246" y="21193"/>
                    <wp:lineTo x="21246"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80" cy="11455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73" w:type="dxa"/>
          <w:gridSpan w:val="4"/>
          <w:tcBorders>
            <w:top w:val="single" w:sz="4" w:space="0" w:color="auto"/>
            <w:left w:val="single" w:sz="4" w:space="0" w:color="auto"/>
            <w:bottom w:val="single" w:sz="4" w:space="0" w:color="auto"/>
            <w:right w:val="single" w:sz="4" w:space="0" w:color="auto"/>
          </w:tcBorders>
          <w:vAlign w:val="center"/>
          <w:hideMark/>
        </w:tcPr>
        <w:p w14:paraId="791A44BB" w14:textId="77777777" w:rsidR="003E443D" w:rsidRPr="00755B7F" w:rsidRDefault="00755B7F" w:rsidP="003E443D">
          <w:pPr>
            <w:pStyle w:val="Sinespaciado"/>
            <w:jc w:val="center"/>
            <w:rPr>
              <w:color w:val="auto"/>
              <w:sz w:val="18"/>
              <w:szCs w:val="18"/>
            </w:rPr>
          </w:pPr>
          <w:r w:rsidRPr="00755B7F">
            <w:rPr>
              <w:color w:val="auto"/>
              <w:sz w:val="18"/>
              <w:szCs w:val="18"/>
            </w:rPr>
            <w:t>PLANEACIÓN Y GESTIÓN SECTORIAL</w:t>
          </w:r>
        </w:p>
        <w:p w14:paraId="7FCBC419" w14:textId="77777777" w:rsidR="003E443D" w:rsidRPr="00755B7F" w:rsidRDefault="003E443D" w:rsidP="00755B7F">
          <w:pPr>
            <w:pStyle w:val="Sinespaciado"/>
            <w:jc w:val="center"/>
            <w:rPr>
              <w:color w:val="auto"/>
              <w:sz w:val="18"/>
              <w:szCs w:val="18"/>
            </w:rPr>
          </w:pPr>
          <w:r w:rsidRPr="00755B7F">
            <w:rPr>
              <w:color w:val="auto"/>
              <w:sz w:val="18"/>
              <w:szCs w:val="18"/>
            </w:rPr>
            <w:t>D</w:t>
          </w:r>
          <w:r w:rsidR="00755B7F" w:rsidRPr="00755B7F">
            <w:rPr>
              <w:color w:val="auto"/>
              <w:sz w:val="18"/>
              <w:szCs w:val="18"/>
            </w:rPr>
            <w:t>IRECCIÓN DE PLANEACIÓN SECTORIAL</w:t>
          </w:r>
        </w:p>
        <w:p w14:paraId="472EF130" w14:textId="77777777" w:rsidR="003E443D" w:rsidRPr="003E443D" w:rsidRDefault="003E443D" w:rsidP="003E443D">
          <w:pPr>
            <w:pStyle w:val="Sinespaciado"/>
            <w:jc w:val="center"/>
            <w:rPr>
              <w:color w:val="auto"/>
              <w:sz w:val="18"/>
              <w:szCs w:val="18"/>
            </w:rPr>
          </w:pPr>
          <w:r w:rsidRPr="003E443D">
            <w:rPr>
              <w:color w:val="auto"/>
              <w:sz w:val="18"/>
              <w:szCs w:val="18"/>
            </w:rPr>
            <w:t xml:space="preserve">SISTEMA DE GESTIÓN </w:t>
          </w:r>
        </w:p>
        <w:p w14:paraId="6EE78CE3" w14:textId="77777777" w:rsidR="003E443D" w:rsidRPr="003E443D" w:rsidRDefault="003E443D" w:rsidP="003E443D">
          <w:pPr>
            <w:pStyle w:val="Sinespaciado"/>
            <w:jc w:val="center"/>
            <w:rPr>
              <w:color w:val="auto"/>
              <w:sz w:val="18"/>
              <w:szCs w:val="18"/>
            </w:rPr>
          </w:pPr>
          <w:r w:rsidRPr="003E443D">
            <w:rPr>
              <w:color w:val="auto"/>
              <w:sz w:val="18"/>
              <w:szCs w:val="18"/>
            </w:rPr>
            <w:t>CONTROL DOCUMENTAL</w:t>
          </w:r>
        </w:p>
      </w:tc>
      <w:tc>
        <w:tcPr>
          <w:tcW w:w="2124" w:type="dxa"/>
          <w:vMerge w:val="restart"/>
          <w:tcBorders>
            <w:top w:val="single" w:sz="4" w:space="0" w:color="auto"/>
            <w:left w:val="single" w:sz="4" w:space="0" w:color="auto"/>
            <w:bottom w:val="single" w:sz="4" w:space="0" w:color="auto"/>
            <w:right w:val="single" w:sz="4" w:space="0" w:color="auto"/>
          </w:tcBorders>
          <w:vAlign w:val="center"/>
          <w:hideMark/>
        </w:tcPr>
        <w:p w14:paraId="4414C11F" w14:textId="77777777" w:rsidR="003E443D" w:rsidRDefault="003E443D" w:rsidP="003E443D">
          <w:pPr>
            <w:spacing w:after="120"/>
            <w:jc w:val="center"/>
            <w:rPr>
              <w:b/>
              <w:bCs/>
            </w:rPr>
          </w:pPr>
          <w:r>
            <w:rPr>
              <w:b/>
              <w:bCs/>
              <w:noProof/>
            </w:rPr>
            <w:drawing>
              <wp:anchor distT="0" distB="0" distL="114300" distR="114300" simplePos="0" relativeHeight="251659264" behindDoc="1" locked="0" layoutInCell="1" allowOverlap="1" wp14:anchorId="4401595F" wp14:editId="02CE5759">
                <wp:simplePos x="0" y="0"/>
                <wp:positionH relativeFrom="column">
                  <wp:posOffset>10795</wp:posOffset>
                </wp:positionH>
                <wp:positionV relativeFrom="paragraph">
                  <wp:posOffset>-1905</wp:posOffset>
                </wp:positionV>
                <wp:extent cx="1241425" cy="1168400"/>
                <wp:effectExtent l="0" t="0" r="0" b="0"/>
                <wp:wrapTight wrapText="bothSides">
                  <wp:wrapPolygon edited="0">
                    <wp:start x="0" y="0"/>
                    <wp:lineTo x="0" y="21130"/>
                    <wp:lineTo x="21213" y="21130"/>
                    <wp:lineTo x="2121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1425" cy="11684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E443D" w14:paraId="328A0239" w14:textId="77777777" w:rsidTr="0095796E">
      <w:tblPrEx>
        <w:tblCellMar>
          <w:left w:w="108" w:type="dxa"/>
          <w:right w:w="108" w:type="dxa"/>
        </w:tblCellMar>
      </w:tblPrEx>
      <w:trPr>
        <w:trHeight w:val="566"/>
        <w:jc w:val="center"/>
      </w:trPr>
      <w:tc>
        <w:tcPr>
          <w:tcW w:w="1856" w:type="dxa"/>
          <w:vMerge/>
          <w:tcBorders>
            <w:top w:val="single" w:sz="4" w:space="0" w:color="auto"/>
            <w:left w:val="single" w:sz="4" w:space="0" w:color="auto"/>
            <w:bottom w:val="single" w:sz="4" w:space="0" w:color="auto"/>
            <w:right w:val="single" w:sz="4" w:space="0" w:color="auto"/>
          </w:tcBorders>
          <w:vAlign w:val="center"/>
        </w:tcPr>
        <w:p w14:paraId="50E5CDE8" w14:textId="77777777" w:rsidR="003E443D" w:rsidRDefault="003E443D" w:rsidP="003E443D">
          <w:pPr>
            <w:rPr>
              <w:noProof/>
            </w:rPr>
          </w:pPr>
        </w:p>
      </w:tc>
      <w:tc>
        <w:tcPr>
          <w:tcW w:w="5373" w:type="dxa"/>
          <w:gridSpan w:val="4"/>
          <w:tcBorders>
            <w:top w:val="single" w:sz="4" w:space="0" w:color="auto"/>
            <w:left w:val="single" w:sz="4" w:space="0" w:color="auto"/>
            <w:bottom w:val="single" w:sz="4" w:space="0" w:color="auto"/>
            <w:right w:val="single" w:sz="4" w:space="0" w:color="auto"/>
          </w:tcBorders>
          <w:vAlign w:val="center"/>
        </w:tcPr>
        <w:p w14:paraId="1B192582" w14:textId="77777777" w:rsidR="003E443D" w:rsidRPr="003E443D" w:rsidRDefault="00755B7F" w:rsidP="003E443D">
          <w:pPr>
            <w:pStyle w:val="Sinespaciado"/>
            <w:jc w:val="center"/>
            <w:rPr>
              <w:color w:val="auto"/>
              <w:sz w:val="18"/>
              <w:szCs w:val="18"/>
              <w:lang w:val="en-US"/>
            </w:rPr>
          </w:pPr>
          <w:r w:rsidRPr="00755B7F">
            <w:rPr>
              <w:color w:val="auto"/>
              <w:sz w:val="18"/>
              <w:szCs w:val="18"/>
              <w:lang w:val="en-US"/>
            </w:rPr>
            <w:t>JUSTIFICACIÓN TÉCNICA Y FINANCIERA</w:t>
          </w:r>
        </w:p>
      </w:tc>
      <w:tc>
        <w:tcPr>
          <w:tcW w:w="2124" w:type="dxa"/>
          <w:vMerge/>
          <w:tcBorders>
            <w:top w:val="single" w:sz="4" w:space="0" w:color="auto"/>
            <w:left w:val="single" w:sz="4" w:space="0" w:color="auto"/>
            <w:bottom w:val="single" w:sz="4" w:space="0" w:color="auto"/>
            <w:right w:val="single" w:sz="4" w:space="0" w:color="auto"/>
          </w:tcBorders>
          <w:vAlign w:val="center"/>
        </w:tcPr>
        <w:p w14:paraId="2EC0B91B" w14:textId="77777777" w:rsidR="003E443D" w:rsidRDefault="003E443D" w:rsidP="003E443D">
          <w:pPr>
            <w:spacing w:after="120"/>
            <w:jc w:val="both"/>
          </w:pPr>
        </w:p>
      </w:tc>
    </w:tr>
    <w:tr w:rsidR="003E443D" w14:paraId="77283975" w14:textId="77777777" w:rsidTr="0095796E">
      <w:tblPrEx>
        <w:tblCellMar>
          <w:left w:w="108" w:type="dxa"/>
          <w:right w:w="108" w:type="dxa"/>
        </w:tblCellMar>
      </w:tblPrEx>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40E22" w14:textId="77777777" w:rsidR="003E443D" w:rsidRDefault="003E443D" w:rsidP="003E443D">
          <w:pPr>
            <w:rPr>
              <w:b/>
              <w:bC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C1F2EDB" w14:textId="77777777" w:rsidR="003E443D" w:rsidRPr="009651E9" w:rsidRDefault="003E443D" w:rsidP="003E443D">
          <w:pPr>
            <w:jc w:val="center"/>
            <w:rPr>
              <w:sz w:val="18"/>
              <w:szCs w:val="18"/>
            </w:rPr>
          </w:pPr>
          <w:r w:rsidRPr="009651E9">
            <w:rPr>
              <w:sz w:val="18"/>
              <w:szCs w:val="18"/>
            </w:rPr>
            <w:t>Código:</w:t>
          </w:r>
        </w:p>
      </w:tc>
      <w:tc>
        <w:tcPr>
          <w:tcW w:w="1918" w:type="dxa"/>
          <w:tcBorders>
            <w:top w:val="single" w:sz="4" w:space="0" w:color="auto"/>
            <w:left w:val="single" w:sz="4" w:space="0" w:color="auto"/>
            <w:bottom w:val="single" w:sz="4" w:space="0" w:color="auto"/>
            <w:right w:val="single" w:sz="4" w:space="0" w:color="auto"/>
          </w:tcBorders>
          <w:vAlign w:val="center"/>
          <w:hideMark/>
        </w:tcPr>
        <w:p w14:paraId="43554ED1" w14:textId="18190459" w:rsidR="003E443D" w:rsidRPr="009651E9" w:rsidRDefault="00755B7F" w:rsidP="00FA1896">
          <w:pPr>
            <w:jc w:val="center"/>
            <w:rPr>
              <w:sz w:val="18"/>
              <w:szCs w:val="18"/>
            </w:rPr>
          </w:pPr>
          <w:r>
            <w:rPr>
              <w:sz w:val="18"/>
              <w:szCs w:val="18"/>
            </w:rPr>
            <w:t>SDS-PGS</w:t>
          </w:r>
          <w:r w:rsidR="003E443D" w:rsidRPr="009651E9">
            <w:rPr>
              <w:sz w:val="18"/>
              <w:szCs w:val="18"/>
            </w:rPr>
            <w:t>-FT-</w:t>
          </w:r>
          <w:r w:rsidR="00FA1896">
            <w:rPr>
              <w:sz w:val="18"/>
              <w:szCs w:val="18"/>
            </w:rPr>
            <w:t>105</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ABD77CD" w14:textId="77777777" w:rsidR="003E443D" w:rsidRPr="009651E9" w:rsidRDefault="003E443D" w:rsidP="003E443D">
          <w:pPr>
            <w:jc w:val="center"/>
            <w:rPr>
              <w:sz w:val="18"/>
              <w:szCs w:val="18"/>
            </w:rPr>
          </w:pPr>
          <w:r w:rsidRPr="009651E9">
            <w:rPr>
              <w:sz w:val="18"/>
              <w:szCs w:val="18"/>
            </w:rPr>
            <w:t>Versión:</w:t>
          </w:r>
        </w:p>
      </w:tc>
      <w:tc>
        <w:tcPr>
          <w:tcW w:w="1195" w:type="dxa"/>
          <w:tcBorders>
            <w:top w:val="single" w:sz="4" w:space="0" w:color="auto"/>
            <w:left w:val="single" w:sz="4" w:space="0" w:color="auto"/>
            <w:bottom w:val="single" w:sz="4" w:space="0" w:color="auto"/>
            <w:right w:val="single" w:sz="4" w:space="0" w:color="auto"/>
          </w:tcBorders>
          <w:vAlign w:val="center"/>
          <w:hideMark/>
        </w:tcPr>
        <w:p w14:paraId="11A9BF14" w14:textId="77777777" w:rsidR="003E443D" w:rsidRPr="009651E9" w:rsidRDefault="00755B7F" w:rsidP="003E443D">
          <w:pPr>
            <w:jc w:val="center"/>
            <w:rPr>
              <w:sz w:val="18"/>
              <w:szCs w:val="18"/>
            </w:rPr>
          </w:pPr>
          <w:r>
            <w:rPr>
              <w:sz w:val="18"/>
              <w:szCs w:val="18"/>
            </w:rPr>
            <w:t>1</w:t>
          </w:r>
        </w:p>
      </w:tc>
      <w:tc>
        <w:tcPr>
          <w:tcW w:w="2124" w:type="dxa"/>
          <w:vMerge/>
          <w:tcBorders>
            <w:top w:val="single" w:sz="4" w:space="0" w:color="auto"/>
            <w:left w:val="single" w:sz="4" w:space="0" w:color="auto"/>
            <w:bottom w:val="single" w:sz="4" w:space="0" w:color="auto"/>
            <w:right w:val="single" w:sz="4" w:space="0" w:color="auto"/>
          </w:tcBorders>
          <w:vAlign w:val="center"/>
          <w:hideMark/>
        </w:tcPr>
        <w:p w14:paraId="3814204F" w14:textId="77777777" w:rsidR="003E443D" w:rsidRDefault="003E443D" w:rsidP="003E443D">
          <w:pPr>
            <w:rPr>
              <w:b/>
              <w:bCs/>
            </w:rPr>
          </w:pPr>
        </w:p>
      </w:tc>
    </w:tr>
    <w:tr w:rsidR="003E443D" w14:paraId="0AD5DF97" w14:textId="77777777" w:rsidTr="0095796E">
      <w:tblPrEx>
        <w:tblCellMar>
          <w:left w:w="108" w:type="dxa"/>
          <w:right w:w="108" w:type="dxa"/>
        </w:tblCellMar>
      </w:tblPrEx>
      <w:trPr>
        <w:trHeight w:val="440"/>
        <w:jc w:val="center"/>
      </w:trPr>
      <w:tc>
        <w:tcPr>
          <w:tcW w:w="9353" w:type="dxa"/>
          <w:gridSpan w:val="6"/>
          <w:tcBorders>
            <w:top w:val="single" w:sz="4" w:space="0" w:color="auto"/>
            <w:left w:val="single" w:sz="4" w:space="0" w:color="auto"/>
            <w:bottom w:val="single" w:sz="4" w:space="0" w:color="auto"/>
            <w:right w:val="single" w:sz="4" w:space="0" w:color="auto"/>
          </w:tcBorders>
          <w:vAlign w:val="center"/>
          <w:hideMark/>
        </w:tcPr>
        <w:p w14:paraId="4430450D" w14:textId="19264B3E" w:rsidR="00755B7F" w:rsidRPr="00890BEC" w:rsidRDefault="003E443D" w:rsidP="00755B7F">
          <w:pPr>
            <w:pStyle w:val="Sinespaciado"/>
            <w:rPr>
              <w:b/>
              <w:bCs/>
            </w:rPr>
          </w:pPr>
          <w:r w:rsidRPr="00FA1896">
            <w:rPr>
              <w:color w:val="auto"/>
              <w:sz w:val="16"/>
              <w:szCs w:val="14"/>
            </w:rPr>
            <w:t xml:space="preserve">Elaborado por: </w:t>
          </w:r>
          <w:r w:rsidR="00755B7F" w:rsidRPr="00FA1896">
            <w:rPr>
              <w:color w:val="auto"/>
              <w:sz w:val="16"/>
              <w:szCs w:val="14"/>
            </w:rPr>
            <w:t xml:space="preserve">Yolanda Patricia Valderrama Cortes - Cesar David Campos </w:t>
          </w:r>
          <w:proofErr w:type="spellStart"/>
          <w:r w:rsidR="00755B7F" w:rsidRPr="00FA1896">
            <w:rPr>
              <w:color w:val="auto"/>
              <w:sz w:val="16"/>
              <w:szCs w:val="14"/>
            </w:rPr>
            <w:t>Rodriguez</w:t>
          </w:r>
          <w:proofErr w:type="spellEnd"/>
          <w:r w:rsidR="00755B7F" w:rsidRPr="00FA1896">
            <w:rPr>
              <w:color w:val="auto"/>
              <w:sz w:val="16"/>
              <w:szCs w:val="14"/>
            </w:rPr>
            <w:t xml:space="preserve"> /</w:t>
          </w:r>
          <w:r w:rsidRPr="00FA1896">
            <w:rPr>
              <w:color w:val="auto"/>
              <w:sz w:val="16"/>
              <w:szCs w:val="14"/>
            </w:rPr>
            <w:t xml:space="preserve">Revisado por: </w:t>
          </w:r>
          <w:r w:rsidR="00755B7F" w:rsidRPr="00FA1896">
            <w:rPr>
              <w:color w:val="auto"/>
              <w:sz w:val="16"/>
              <w:szCs w:val="14"/>
            </w:rPr>
            <w:t>Yolanda Patricia Valderrama Cortes / Aprobado</w:t>
          </w:r>
          <w:r w:rsidRPr="00FA1896">
            <w:rPr>
              <w:color w:val="auto"/>
              <w:sz w:val="16"/>
              <w:szCs w:val="14"/>
            </w:rPr>
            <w:t xml:space="preserve"> por: </w:t>
          </w:r>
          <w:r w:rsidR="0008335B" w:rsidRPr="00373A88">
            <w:rPr>
              <w:color w:val="000000"/>
              <w:sz w:val="16"/>
              <w:szCs w:val="18"/>
            </w:rPr>
            <w:t>Lucia Azucena Forero Rojas</w:t>
          </w:r>
          <w:r w:rsidR="00755B7F">
            <w:rPr>
              <w:sz w:val="16"/>
              <w:szCs w:val="14"/>
            </w:rPr>
            <w:t xml:space="preserve">                         </w:t>
          </w:r>
        </w:p>
      </w:tc>
    </w:tr>
  </w:tbl>
  <w:p w14:paraId="49EF4B7E" w14:textId="77777777" w:rsidR="003E443D" w:rsidRDefault="003E44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AA8"/>
    <w:multiLevelType w:val="hybridMultilevel"/>
    <w:tmpl w:val="112876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F03A85"/>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0C29CF"/>
    <w:multiLevelType w:val="hybridMultilevel"/>
    <w:tmpl w:val="F5EE5B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FD201FC"/>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CD30D1D"/>
    <w:multiLevelType w:val="hybridMultilevel"/>
    <w:tmpl w:val="812870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27E7A7C"/>
    <w:multiLevelType w:val="hybridMultilevel"/>
    <w:tmpl w:val="1ADE3374"/>
    <w:lvl w:ilvl="0" w:tplc="A2E82A4C">
      <w:start w:val="1"/>
      <w:numFmt w:val="decimal"/>
      <w:lvlText w:val="%1-"/>
      <w:lvlJc w:val="left"/>
      <w:pPr>
        <w:ind w:left="720" w:hanging="360"/>
      </w:pPr>
      <w:rPr>
        <w:rFonts w:hint="default"/>
        <w:i/>
        <w:color w:val="8080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3CF6EE2"/>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775732C"/>
    <w:multiLevelType w:val="multilevel"/>
    <w:tmpl w:val="531A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2509A9"/>
    <w:multiLevelType w:val="hybridMultilevel"/>
    <w:tmpl w:val="833AC1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6C99766D"/>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D965B2"/>
    <w:multiLevelType w:val="multilevel"/>
    <w:tmpl w:val="BEC2BD1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6"/>
  </w:num>
  <w:num w:numId="3">
    <w:abstractNumId w:val="9"/>
  </w:num>
  <w:num w:numId="4">
    <w:abstractNumId w:val="10"/>
  </w:num>
  <w:num w:numId="5">
    <w:abstractNumId w:val="1"/>
  </w:num>
  <w:num w:numId="6">
    <w:abstractNumId w:val="7"/>
  </w:num>
  <w:num w:numId="7">
    <w:abstractNumId w:val="8"/>
  </w:num>
  <w:num w:numId="8">
    <w:abstractNumId w:val="3"/>
  </w:num>
  <w:num w:numId="9">
    <w:abstractNumId w:val="4"/>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s-CO" w:vendorID="64" w:dllVersion="6" w:nlCheck="1" w:checkStyle="0"/>
  <w:activeWritingStyle w:appName="MSWord" w:lang="en-US" w:vendorID="64" w:dllVersion="6" w:nlCheck="1" w:checkStyle="0"/>
  <w:activeWritingStyle w:appName="MSWord" w:lang="es-ES" w:vendorID="64" w:dllVersion="6" w:nlCheck="1" w:checkStyle="0"/>
  <w:activeWritingStyle w:appName="MSWord" w:lang="es-CO"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43D"/>
    <w:rsid w:val="0000079C"/>
    <w:rsid w:val="00015F3D"/>
    <w:rsid w:val="00022A4C"/>
    <w:rsid w:val="00081930"/>
    <w:rsid w:val="0008335B"/>
    <w:rsid w:val="00093F51"/>
    <w:rsid w:val="000A3BF7"/>
    <w:rsid w:val="000B162B"/>
    <w:rsid w:val="000D5DA3"/>
    <w:rsid w:val="000D6EF1"/>
    <w:rsid w:val="000F7BDA"/>
    <w:rsid w:val="000F7D93"/>
    <w:rsid w:val="00102F4A"/>
    <w:rsid w:val="00114498"/>
    <w:rsid w:val="00123C50"/>
    <w:rsid w:val="00124905"/>
    <w:rsid w:val="001352AE"/>
    <w:rsid w:val="00145F43"/>
    <w:rsid w:val="00151F4E"/>
    <w:rsid w:val="00163FE8"/>
    <w:rsid w:val="00194A75"/>
    <w:rsid w:val="001A3276"/>
    <w:rsid w:val="001B20CC"/>
    <w:rsid w:val="001B3D2F"/>
    <w:rsid w:val="001C1554"/>
    <w:rsid w:val="001F20AD"/>
    <w:rsid w:val="00203711"/>
    <w:rsid w:val="00207BD8"/>
    <w:rsid w:val="00224391"/>
    <w:rsid w:val="002753B2"/>
    <w:rsid w:val="00282AB3"/>
    <w:rsid w:val="00287ADF"/>
    <w:rsid w:val="002A274A"/>
    <w:rsid w:val="002A56E0"/>
    <w:rsid w:val="002A7B65"/>
    <w:rsid w:val="002C16FF"/>
    <w:rsid w:val="002D29A2"/>
    <w:rsid w:val="002D5126"/>
    <w:rsid w:val="003034E4"/>
    <w:rsid w:val="003156CE"/>
    <w:rsid w:val="00321E25"/>
    <w:rsid w:val="00331EC8"/>
    <w:rsid w:val="003431FC"/>
    <w:rsid w:val="0035338A"/>
    <w:rsid w:val="0036193A"/>
    <w:rsid w:val="003650AE"/>
    <w:rsid w:val="003774DB"/>
    <w:rsid w:val="003867D6"/>
    <w:rsid w:val="003A1061"/>
    <w:rsid w:val="003A67CE"/>
    <w:rsid w:val="003B4B63"/>
    <w:rsid w:val="003E443D"/>
    <w:rsid w:val="00403B86"/>
    <w:rsid w:val="004058DE"/>
    <w:rsid w:val="00424C07"/>
    <w:rsid w:val="00450629"/>
    <w:rsid w:val="00463BE1"/>
    <w:rsid w:val="004772E4"/>
    <w:rsid w:val="00484FDD"/>
    <w:rsid w:val="004A5423"/>
    <w:rsid w:val="004A7036"/>
    <w:rsid w:val="004B2237"/>
    <w:rsid w:val="004C2B03"/>
    <w:rsid w:val="004C47E8"/>
    <w:rsid w:val="004D33FE"/>
    <w:rsid w:val="004D459D"/>
    <w:rsid w:val="004F0D1B"/>
    <w:rsid w:val="004F6BC0"/>
    <w:rsid w:val="0050390E"/>
    <w:rsid w:val="00511A0C"/>
    <w:rsid w:val="0052285A"/>
    <w:rsid w:val="005258FE"/>
    <w:rsid w:val="00527D73"/>
    <w:rsid w:val="00546CB8"/>
    <w:rsid w:val="00554B08"/>
    <w:rsid w:val="00564066"/>
    <w:rsid w:val="00565163"/>
    <w:rsid w:val="005653EA"/>
    <w:rsid w:val="00571989"/>
    <w:rsid w:val="0057672C"/>
    <w:rsid w:val="00580C5F"/>
    <w:rsid w:val="005A0D4A"/>
    <w:rsid w:val="005B69CF"/>
    <w:rsid w:val="005D4319"/>
    <w:rsid w:val="005E1E3C"/>
    <w:rsid w:val="00601DBE"/>
    <w:rsid w:val="00636E5F"/>
    <w:rsid w:val="0068583B"/>
    <w:rsid w:val="00686763"/>
    <w:rsid w:val="006A61BB"/>
    <w:rsid w:val="006C1E23"/>
    <w:rsid w:val="006C5BCA"/>
    <w:rsid w:val="006E48E5"/>
    <w:rsid w:val="006F4713"/>
    <w:rsid w:val="0070390C"/>
    <w:rsid w:val="00724DCE"/>
    <w:rsid w:val="00741187"/>
    <w:rsid w:val="00755B7F"/>
    <w:rsid w:val="007611C5"/>
    <w:rsid w:val="00771A97"/>
    <w:rsid w:val="007757CE"/>
    <w:rsid w:val="00785477"/>
    <w:rsid w:val="00785D71"/>
    <w:rsid w:val="00796A9F"/>
    <w:rsid w:val="007A36FA"/>
    <w:rsid w:val="007A5D91"/>
    <w:rsid w:val="007A6596"/>
    <w:rsid w:val="007A7CE0"/>
    <w:rsid w:val="007C0B12"/>
    <w:rsid w:val="007D12F7"/>
    <w:rsid w:val="007D1D8A"/>
    <w:rsid w:val="007D7EB3"/>
    <w:rsid w:val="007E2BB6"/>
    <w:rsid w:val="007F7415"/>
    <w:rsid w:val="00806FBA"/>
    <w:rsid w:val="00807E3B"/>
    <w:rsid w:val="00824BF6"/>
    <w:rsid w:val="00826BB5"/>
    <w:rsid w:val="008464AE"/>
    <w:rsid w:val="008654CE"/>
    <w:rsid w:val="00865B98"/>
    <w:rsid w:val="008661B4"/>
    <w:rsid w:val="00875D72"/>
    <w:rsid w:val="00877A5F"/>
    <w:rsid w:val="008B5BC1"/>
    <w:rsid w:val="008D1C7E"/>
    <w:rsid w:val="00905D97"/>
    <w:rsid w:val="00922409"/>
    <w:rsid w:val="00935C71"/>
    <w:rsid w:val="00960FAC"/>
    <w:rsid w:val="00961CD1"/>
    <w:rsid w:val="009623F0"/>
    <w:rsid w:val="009651E9"/>
    <w:rsid w:val="009736F5"/>
    <w:rsid w:val="00974D48"/>
    <w:rsid w:val="00977611"/>
    <w:rsid w:val="00991C65"/>
    <w:rsid w:val="009B206A"/>
    <w:rsid w:val="009C4582"/>
    <w:rsid w:val="009D1DF4"/>
    <w:rsid w:val="009F58BD"/>
    <w:rsid w:val="009F5C1E"/>
    <w:rsid w:val="00A048C3"/>
    <w:rsid w:val="00A13E5F"/>
    <w:rsid w:val="00A20C86"/>
    <w:rsid w:val="00A20DBE"/>
    <w:rsid w:val="00A7524E"/>
    <w:rsid w:val="00A95320"/>
    <w:rsid w:val="00AA1D90"/>
    <w:rsid w:val="00AA2E52"/>
    <w:rsid w:val="00AA39C1"/>
    <w:rsid w:val="00AA505A"/>
    <w:rsid w:val="00AB18A4"/>
    <w:rsid w:val="00AC33C1"/>
    <w:rsid w:val="00AD59A0"/>
    <w:rsid w:val="00AD6D88"/>
    <w:rsid w:val="00AF304F"/>
    <w:rsid w:val="00B007D4"/>
    <w:rsid w:val="00B2681A"/>
    <w:rsid w:val="00B33064"/>
    <w:rsid w:val="00B72A85"/>
    <w:rsid w:val="00B7387D"/>
    <w:rsid w:val="00B758A9"/>
    <w:rsid w:val="00B77F1C"/>
    <w:rsid w:val="00B92225"/>
    <w:rsid w:val="00BC4E3D"/>
    <w:rsid w:val="00BF1BD1"/>
    <w:rsid w:val="00C048D8"/>
    <w:rsid w:val="00C05D3E"/>
    <w:rsid w:val="00C235CD"/>
    <w:rsid w:val="00C27585"/>
    <w:rsid w:val="00C352AC"/>
    <w:rsid w:val="00C42331"/>
    <w:rsid w:val="00C50308"/>
    <w:rsid w:val="00C86D71"/>
    <w:rsid w:val="00C93596"/>
    <w:rsid w:val="00CA3B04"/>
    <w:rsid w:val="00CA4ABB"/>
    <w:rsid w:val="00CA75C7"/>
    <w:rsid w:val="00CB2DDD"/>
    <w:rsid w:val="00CB4F17"/>
    <w:rsid w:val="00CD2664"/>
    <w:rsid w:val="00CD5704"/>
    <w:rsid w:val="00CD6EED"/>
    <w:rsid w:val="00CF4063"/>
    <w:rsid w:val="00D04C3C"/>
    <w:rsid w:val="00D05BF1"/>
    <w:rsid w:val="00D2632D"/>
    <w:rsid w:val="00D35FAF"/>
    <w:rsid w:val="00D36D3B"/>
    <w:rsid w:val="00D61777"/>
    <w:rsid w:val="00D91847"/>
    <w:rsid w:val="00DA381A"/>
    <w:rsid w:val="00DA4A21"/>
    <w:rsid w:val="00DA5603"/>
    <w:rsid w:val="00DB2286"/>
    <w:rsid w:val="00DD613D"/>
    <w:rsid w:val="00DE6A8F"/>
    <w:rsid w:val="00E423D5"/>
    <w:rsid w:val="00E61C87"/>
    <w:rsid w:val="00E75257"/>
    <w:rsid w:val="00EE527C"/>
    <w:rsid w:val="00EF2BAA"/>
    <w:rsid w:val="00F052CE"/>
    <w:rsid w:val="00F05548"/>
    <w:rsid w:val="00F4470E"/>
    <w:rsid w:val="00F75AF6"/>
    <w:rsid w:val="00F82C64"/>
    <w:rsid w:val="00F97400"/>
    <w:rsid w:val="00FA1896"/>
    <w:rsid w:val="00FA50B6"/>
    <w:rsid w:val="00FB571A"/>
    <w:rsid w:val="00FD5548"/>
    <w:rsid w:val="00FE50B9"/>
    <w:rsid w:val="00FF18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DD7BC"/>
  <w15:chartTrackingRefBased/>
  <w15:docId w15:val="{60931FE9-ADB9-4ED1-B448-7A0C9D2BD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5257"/>
    <w:pPr>
      <w:spacing w:after="0" w:line="240" w:lineRule="auto"/>
    </w:pPr>
    <w:rPr>
      <w:rFonts w:ascii="Arial" w:eastAsia="Calibri" w:hAnsi="Arial" w:cs="Arial"/>
      <w:sz w:val="24"/>
      <w:szCs w:val="24"/>
      <w:lang w:eastAsia="es-CO"/>
    </w:rPr>
  </w:style>
  <w:style w:type="paragraph" w:styleId="Ttulo1">
    <w:name w:val="heading 1"/>
    <w:basedOn w:val="Normal"/>
    <w:next w:val="Normal"/>
    <w:link w:val="Ttulo1Car"/>
    <w:uiPriority w:val="9"/>
    <w:qFormat/>
    <w:rsid w:val="00E75257"/>
    <w:pPr>
      <w:keepNext/>
      <w:keepLines/>
      <w:outlineLvl w:val="0"/>
    </w:pPr>
    <w:rPr>
      <w:rFonts w:eastAsia="Times New Roman"/>
      <w:b/>
      <w:bCs/>
      <w:color w:val="365F91"/>
      <w:szCs w:val="28"/>
      <w:lang w:val="x-none" w:eastAsia="x-none"/>
    </w:rPr>
  </w:style>
  <w:style w:type="paragraph" w:styleId="Ttulo2">
    <w:name w:val="heading 2"/>
    <w:basedOn w:val="Normal"/>
    <w:next w:val="Normal"/>
    <w:link w:val="Ttulo2Car"/>
    <w:uiPriority w:val="9"/>
    <w:unhideWhenUsed/>
    <w:qFormat/>
    <w:rsid w:val="00E75257"/>
    <w:pPr>
      <w:keepNext/>
      <w:keepLines/>
      <w:outlineLvl w:val="1"/>
    </w:pPr>
    <w:rPr>
      <w:rFonts w:ascii="Cambria" w:eastAsia="Times New Roman" w:hAnsi="Cambria"/>
      <w:b/>
      <w:bCs/>
      <w:color w:val="4F81BD"/>
      <w:sz w:val="26"/>
      <w:szCs w:val="26"/>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E443D"/>
    <w:pPr>
      <w:tabs>
        <w:tab w:val="center" w:pos="4419"/>
        <w:tab w:val="right" w:pos="8838"/>
      </w:tabs>
    </w:pPr>
  </w:style>
  <w:style w:type="character" w:customStyle="1" w:styleId="EncabezadoCar">
    <w:name w:val="Encabezado Car"/>
    <w:basedOn w:val="Fuentedeprrafopredeter"/>
    <w:link w:val="Encabezado"/>
    <w:uiPriority w:val="99"/>
    <w:rsid w:val="003E443D"/>
  </w:style>
  <w:style w:type="paragraph" w:styleId="Piedepgina">
    <w:name w:val="footer"/>
    <w:basedOn w:val="Normal"/>
    <w:link w:val="PiedepginaCar"/>
    <w:uiPriority w:val="99"/>
    <w:unhideWhenUsed/>
    <w:rsid w:val="003E443D"/>
    <w:pPr>
      <w:tabs>
        <w:tab w:val="center" w:pos="4419"/>
        <w:tab w:val="right" w:pos="8838"/>
      </w:tabs>
    </w:pPr>
  </w:style>
  <w:style w:type="character" w:customStyle="1" w:styleId="PiedepginaCar">
    <w:name w:val="Pie de página Car"/>
    <w:basedOn w:val="Fuentedeprrafopredeter"/>
    <w:link w:val="Piedepgina"/>
    <w:uiPriority w:val="99"/>
    <w:rsid w:val="003E443D"/>
  </w:style>
  <w:style w:type="paragraph" w:styleId="Sinespaciado">
    <w:name w:val="No Spacing"/>
    <w:link w:val="SinespaciadoCar"/>
    <w:uiPriority w:val="1"/>
    <w:qFormat/>
    <w:rsid w:val="003E443D"/>
    <w:pPr>
      <w:spacing w:after="0" w:line="240" w:lineRule="auto"/>
    </w:pPr>
    <w:rPr>
      <w:rFonts w:ascii="Arial" w:eastAsia="Times New Roman" w:hAnsi="Arial" w:cs="Arial"/>
      <w:color w:val="808080"/>
      <w:sz w:val="24"/>
      <w:szCs w:val="24"/>
      <w:lang w:eastAsia="es-CO"/>
    </w:rPr>
  </w:style>
  <w:style w:type="character" w:customStyle="1" w:styleId="SinespaciadoCar">
    <w:name w:val="Sin espaciado Car"/>
    <w:link w:val="Sinespaciado"/>
    <w:uiPriority w:val="1"/>
    <w:rsid w:val="003E443D"/>
    <w:rPr>
      <w:rFonts w:ascii="Arial" w:eastAsia="Times New Roman" w:hAnsi="Arial" w:cs="Arial"/>
      <w:color w:val="808080"/>
      <w:sz w:val="24"/>
      <w:szCs w:val="24"/>
      <w:lang w:eastAsia="es-CO"/>
    </w:rPr>
  </w:style>
  <w:style w:type="character" w:customStyle="1" w:styleId="Ttulo1Car">
    <w:name w:val="Título 1 Car"/>
    <w:basedOn w:val="Fuentedeprrafopredeter"/>
    <w:link w:val="Ttulo1"/>
    <w:uiPriority w:val="9"/>
    <w:rsid w:val="00E75257"/>
    <w:rPr>
      <w:rFonts w:ascii="Arial" w:eastAsia="Times New Roman" w:hAnsi="Arial" w:cs="Arial"/>
      <w:b/>
      <w:bCs/>
      <w:color w:val="365F91"/>
      <w:sz w:val="24"/>
      <w:szCs w:val="28"/>
      <w:lang w:val="x-none" w:eastAsia="x-none"/>
    </w:rPr>
  </w:style>
  <w:style w:type="character" w:customStyle="1" w:styleId="Ttulo2Car">
    <w:name w:val="Título 2 Car"/>
    <w:basedOn w:val="Fuentedeprrafopredeter"/>
    <w:link w:val="Ttulo2"/>
    <w:uiPriority w:val="9"/>
    <w:rsid w:val="00E75257"/>
    <w:rPr>
      <w:rFonts w:ascii="Cambria" w:eastAsia="Times New Roman" w:hAnsi="Cambria" w:cs="Arial"/>
      <w:b/>
      <w:bCs/>
      <w:color w:val="4F81BD"/>
      <w:sz w:val="26"/>
      <w:szCs w:val="26"/>
      <w:lang w:val="x-none" w:eastAsia="x-none"/>
    </w:rPr>
  </w:style>
  <w:style w:type="paragraph" w:customStyle="1" w:styleId="comentarios">
    <w:name w:val="comentarios"/>
    <w:basedOn w:val="Normal"/>
    <w:link w:val="comentariosCar"/>
    <w:qFormat/>
    <w:rsid w:val="00E75257"/>
    <w:pPr>
      <w:jc w:val="both"/>
    </w:pPr>
    <w:rPr>
      <w:i/>
      <w:color w:val="808080"/>
      <w:lang w:eastAsia="x-none"/>
    </w:rPr>
  </w:style>
  <w:style w:type="character" w:customStyle="1" w:styleId="comentariosCar">
    <w:name w:val="comentarios Car"/>
    <w:link w:val="comentarios"/>
    <w:rsid w:val="00E75257"/>
    <w:rPr>
      <w:rFonts w:ascii="Arial" w:eastAsia="Calibri" w:hAnsi="Arial" w:cs="Arial"/>
      <w:i/>
      <w:color w:val="808080"/>
      <w:sz w:val="24"/>
      <w:szCs w:val="24"/>
      <w:lang w:eastAsia="x-none"/>
    </w:rPr>
  </w:style>
  <w:style w:type="character" w:styleId="Textoennegrita">
    <w:name w:val="Strong"/>
    <w:uiPriority w:val="99"/>
    <w:qFormat/>
    <w:rsid w:val="00E75257"/>
    <w:rPr>
      <w:b/>
      <w:bCs/>
    </w:rPr>
  </w:style>
  <w:style w:type="paragraph" w:styleId="Prrafodelista">
    <w:name w:val="List Paragraph"/>
    <w:basedOn w:val="Normal"/>
    <w:uiPriority w:val="34"/>
    <w:qFormat/>
    <w:rsid w:val="00E75257"/>
    <w:pPr>
      <w:ind w:left="720"/>
      <w:contextualSpacing/>
    </w:pPr>
  </w:style>
  <w:style w:type="table" w:styleId="Tablaconcuadrcula">
    <w:name w:val="Table Grid"/>
    <w:basedOn w:val="Tablanormal"/>
    <w:uiPriority w:val="39"/>
    <w:rsid w:val="00FF1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reccininterior">
    <w:name w:val="Dirección interior"/>
    <w:basedOn w:val="Normal"/>
    <w:rsid w:val="00AA505A"/>
    <w:pPr>
      <w:spacing w:line="240" w:lineRule="atLeast"/>
      <w:jc w:val="both"/>
    </w:pPr>
    <w:rPr>
      <w:rFonts w:ascii="Garamond" w:eastAsia="Times New Roman" w:hAnsi="Garamond" w:cs="Times New Roman"/>
      <w:kern w:val="18"/>
      <w:sz w:val="20"/>
      <w:szCs w:val="20"/>
      <w:lang w:eastAsia="es-ES"/>
    </w:rPr>
  </w:style>
  <w:style w:type="character" w:styleId="Refdecomentario">
    <w:name w:val="annotation reference"/>
    <w:basedOn w:val="Fuentedeprrafopredeter"/>
    <w:uiPriority w:val="99"/>
    <w:semiHidden/>
    <w:unhideWhenUsed/>
    <w:rsid w:val="006C1E23"/>
    <w:rPr>
      <w:sz w:val="16"/>
      <w:szCs w:val="16"/>
    </w:rPr>
  </w:style>
  <w:style w:type="paragraph" w:styleId="Textocomentario">
    <w:name w:val="annotation text"/>
    <w:basedOn w:val="Normal"/>
    <w:link w:val="TextocomentarioCar"/>
    <w:uiPriority w:val="99"/>
    <w:semiHidden/>
    <w:unhideWhenUsed/>
    <w:rsid w:val="006C1E23"/>
    <w:rPr>
      <w:sz w:val="20"/>
      <w:szCs w:val="20"/>
    </w:rPr>
  </w:style>
  <w:style w:type="character" w:customStyle="1" w:styleId="TextocomentarioCar">
    <w:name w:val="Texto comentario Car"/>
    <w:basedOn w:val="Fuentedeprrafopredeter"/>
    <w:link w:val="Textocomentario"/>
    <w:uiPriority w:val="99"/>
    <w:semiHidden/>
    <w:rsid w:val="006C1E23"/>
    <w:rPr>
      <w:rFonts w:ascii="Arial" w:eastAsia="Calibri" w:hAnsi="Arial" w:cs="Arial"/>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6C1E23"/>
    <w:rPr>
      <w:b/>
      <w:bCs/>
    </w:rPr>
  </w:style>
  <w:style w:type="character" w:customStyle="1" w:styleId="AsuntodelcomentarioCar">
    <w:name w:val="Asunto del comentario Car"/>
    <w:basedOn w:val="TextocomentarioCar"/>
    <w:link w:val="Asuntodelcomentario"/>
    <w:uiPriority w:val="99"/>
    <w:semiHidden/>
    <w:rsid w:val="006C1E23"/>
    <w:rPr>
      <w:rFonts w:ascii="Arial" w:eastAsia="Calibri" w:hAnsi="Arial" w:cs="Arial"/>
      <w:b/>
      <w:bCs/>
      <w:sz w:val="20"/>
      <w:szCs w:val="20"/>
      <w:lang w:eastAsia="es-CO"/>
    </w:rPr>
  </w:style>
  <w:style w:type="paragraph" w:styleId="Textodeglobo">
    <w:name w:val="Balloon Text"/>
    <w:basedOn w:val="Normal"/>
    <w:link w:val="TextodegloboCar"/>
    <w:uiPriority w:val="99"/>
    <w:semiHidden/>
    <w:unhideWhenUsed/>
    <w:rsid w:val="006C1E2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1E23"/>
    <w:rPr>
      <w:rFonts w:ascii="Segoe UI" w:eastAsia="Calibri" w:hAnsi="Segoe UI" w:cs="Segoe UI"/>
      <w:sz w:val="18"/>
      <w:szCs w:val="18"/>
      <w:lang w:eastAsia="es-CO"/>
    </w:rPr>
  </w:style>
  <w:style w:type="paragraph" w:customStyle="1" w:styleId="Default">
    <w:name w:val="Default"/>
    <w:rsid w:val="00AA39C1"/>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6874">
      <w:bodyDiv w:val="1"/>
      <w:marLeft w:val="0"/>
      <w:marRight w:val="0"/>
      <w:marTop w:val="0"/>
      <w:marBottom w:val="0"/>
      <w:divBdr>
        <w:top w:val="none" w:sz="0" w:space="0" w:color="auto"/>
        <w:left w:val="none" w:sz="0" w:space="0" w:color="auto"/>
        <w:bottom w:val="none" w:sz="0" w:space="0" w:color="auto"/>
        <w:right w:val="none" w:sz="0" w:space="0" w:color="auto"/>
      </w:divBdr>
    </w:div>
    <w:div w:id="118960869">
      <w:bodyDiv w:val="1"/>
      <w:marLeft w:val="0"/>
      <w:marRight w:val="0"/>
      <w:marTop w:val="0"/>
      <w:marBottom w:val="0"/>
      <w:divBdr>
        <w:top w:val="none" w:sz="0" w:space="0" w:color="auto"/>
        <w:left w:val="none" w:sz="0" w:space="0" w:color="auto"/>
        <w:bottom w:val="none" w:sz="0" w:space="0" w:color="auto"/>
        <w:right w:val="none" w:sz="0" w:space="0" w:color="auto"/>
      </w:divBdr>
    </w:div>
    <w:div w:id="161168424">
      <w:bodyDiv w:val="1"/>
      <w:marLeft w:val="0"/>
      <w:marRight w:val="0"/>
      <w:marTop w:val="0"/>
      <w:marBottom w:val="0"/>
      <w:divBdr>
        <w:top w:val="none" w:sz="0" w:space="0" w:color="auto"/>
        <w:left w:val="none" w:sz="0" w:space="0" w:color="auto"/>
        <w:bottom w:val="none" w:sz="0" w:space="0" w:color="auto"/>
        <w:right w:val="none" w:sz="0" w:space="0" w:color="auto"/>
      </w:divBdr>
    </w:div>
    <w:div w:id="250432267">
      <w:bodyDiv w:val="1"/>
      <w:marLeft w:val="0"/>
      <w:marRight w:val="0"/>
      <w:marTop w:val="0"/>
      <w:marBottom w:val="0"/>
      <w:divBdr>
        <w:top w:val="none" w:sz="0" w:space="0" w:color="auto"/>
        <w:left w:val="none" w:sz="0" w:space="0" w:color="auto"/>
        <w:bottom w:val="none" w:sz="0" w:space="0" w:color="auto"/>
        <w:right w:val="none" w:sz="0" w:space="0" w:color="auto"/>
      </w:divBdr>
    </w:div>
    <w:div w:id="283736852">
      <w:bodyDiv w:val="1"/>
      <w:marLeft w:val="0"/>
      <w:marRight w:val="0"/>
      <w:marTop w:val="0"/>
      <w:marBottom w:val="0"/>
      <w:divBdr>
        <w:top w:val="none" w:sz="0" w:space="0" w:color="auto"/>
        <w:left w:val="none" w:sz="0" w:space="0" w:color="auto"/>
        <w:bottom w:val="none" w:sz="0" w:space="0" w:color="auto"/>
        <w:right w:val="none" w:sz="0" w:space="0" w:color="auto"/>
      </w:divBdr>
    </w:div>
    <w:div w:id="396131279">
      <w:bodyDiv w:val="1"/>
      <w:marLeft w:val="0"/>
      <w:marRight w:val="0"/>
      <w:marTop w:val="0"/>
      <w:marBottom w:val="0"/>
      <w:divBdr>
        <w:top w:val="none" w:sz="0" w:space="0" w:color="auto"/>
        <w:left w:val="none" w:sz="0" w:space="0" w:color="auto"/>
        <w:bottom w:val="none" w:sz="0" w:space="0" w:color="auto"/>
        <w:right w:val="none" w:sz="0" w:space="0" w:color="auto"/>
      </w:divBdr>
    </w:div>
    <w:div w:id="481193487">
      <w:bodyDiv w:val="1"/>
      <w:marLeft w:val="0"/>
      <w:marRight w:val="0"/>
      <w:marTop w:val="0"/>
      <w:marBottom w:val="0"/>
      <w:divBdr>
        <w:top w:val="none" w:sz="0" w:space="0" w:color="auto"/>
        <w:left w:val="none" w:sz="0" w:space="0" w:color="auto"/>
        <w:bottom w:val="none" w:sz="0" w:space="0" w:color="auto"/>
        <w:right w:val="none" w:sz="0" w:space="0" w:color="auto"/>
      </w:divBdr>
    </w:div>
    <w:div w:id="743334959">
      <w:bodyDiv w:val="1"/>
      <w:marLeft w:val="0"/>
      <w:marRight w:val="0"/>
      <w:marTop w:val="0"/>
      <w:marBottom w:val="0"/>
      <w:divBdr>
        <w:top w:val="none" w:sz="0" w:space="0" w:color="auto"/>
        <w:left w:val="none" w:sz="0" w:space="0" w:color="auto"/>
        <w:bottom w:val="none" w:sz="0" w:space="0" w:color="auto"/>
        <w:right w:val="none" w:sz="0" w:space="0" w:color="auto"/>
      </w:divBdr>
    </w:div>
    <w:div w:id="752092599">
      <w:bodyDiv w:val="1"/>
      <w:marLeft w:val="0"/>
      <w:marRight w:val="0"/>
      <w:marTop w:val="0"/>
      <w:marBottom w:val="0"/>
      <w:divBdr>
        <w:top w:val="none" w:sz="0" w:space="0" w:color="auto"/>
        <w:left w:val="none" w:sz="0" w:space="0" w:color="auto"/>
        <w:bottom w:val="none" w:sz="0" w:space="0" w:color="auto"/>
        <w:right w:val="none" w:sz="0" w:space="0" w:color="auto"/>
      </w:divBdr>
    </w:div>
    <w:div w:id="1206678472">
      <w:bodyDiv w:val="1"/>
      <w:marLeft w:val="0"/>
      <w:marRight w:val="0"/>
      <w:marTop w:val="0"/>
      <w:marBottom w:val="0"/>
      <w:divBdr>
        <w:top w:val="none" w:sz="0" w:space="0" w:color="auto"/>
        <w:left w:val="none" w:sz="0" w:space="0" w:color="auto"/>
        <w:bottom w:val="none" w:sz="0" w:space="0" w:color="auto"/>
        <w:right w:val="none" w:sz="0" w:space="0" w:color="auto"/>
      </w:divBdr>
    </w:div>
    <w:div w:id="1219704596">
      <w:bodyDiv w:val="1"/>
      <w:marLeft w:val="0"/>
      <w:marRight w:val="0"/>
      <w:marTop w:val="0"/>
      <w:marBottom w:val="0"/>
      <w:divBdr>
        <w:top w:val="none" w:sz="0" w:space="0" w:color="auto"/>
        <w:left w:val="none" w:sz="0" w:space="0" w:color="auto"/>
        <w:bottom w:val="none" w:sz="0" w:space="0" w:color="auto"/>
        <w:right w:val="none" w:sz="0" w:space="0" w:color="auto"/>
      </w:divBdr>
    </w:div>
    <w:div w:id="1477340351">
      <w:bodyDiv w:val="1"/>
      <w:marLeft w:val="0"/>
      <w:marRight w:val="0"/>
      <w:marTop w:val="0"/>
      <w:marBottom w:val="0"/>
      <w:divBdr>
        <w:top w:val="none" w:sz="0" w:space="0" w:color="auto"/>
        <w:left w:val="none" w:sz="0" w:space="0" w:color="auto"/>
        <w:bottom w:val="none" w:sz="0" w:space="0" w:color="auto"/>
        <w:right w:val="none" w:sz="0" w:space="0" w:color="auto"/>
      </w:divBdr>
      <w:divsChild>
        <w:div w:id="1617786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661839">
              <w:marLeft w:val="0"/>
              <w:marRight w:val="0"/>
              <w:marTop w:val="0"/>
              <w:marBottom w:val="0"/>
              <w:divBdr>
                <w:top w:val="none" w:sz="0" w:space="0" w:color="auto"/>
                <w:left w:val="none" w:sz="0" w:space="0" w:color="auto"/>
                <w:bottom w:val="none" w:sz="0" w:space="0" w:color="auto"/>
                <w:right w:val="none" w:sz="0" w:space="0" w:color="auto"/>
              </w:divBdr>
              <w:divsChild>
                <w:div w:id="1480534393">
                  <w:marLeft w:val="0"/>
                  <w:marRight w:val="0"/>
                  <w:marTop w:val="0"/>
                  <w:marBottom w:val="0"/>
                  <w:divBdr>
                    <w:top w:val="none" w:sz="0" w:space="0" w:color="auto"/>
                    <w:left w:val="none" w:sz="0" w:space="0" w:color="auto"/>
                    <w:bottom w:val="none" w:sz="0" w:space="0" w:color="auto"/>
                    <w:right w:val="none" w:sz="0" w:space="0" w:color="auto"/>
                  </w:divBdr>
                  <w:divsChild>
                    <w:div w:id="19765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065398">
      <w:bodyDiv w:val="1"/>
      <w:marLeft w:val="0"/>
      <w:marRight w:val="0"/>
      <w:marTop w:val="0"/>
      <w:marBottom w:val="0"/>
      <w:divBdr>
        <w:top w:val="none" w:sz="0" w:space="0" w:color="auto"/>
        <w:left w:val="none" w:sz="0" w:space="0" w:color="auto"/>
        <w:bottom w:val="none" w:sz="0" w:space="0" w:color="auto"/>
        <w:right w:val="none" w:sz="0" w:space="0" w:color="auto"/>
      </w:divBdr>
    </w:div>
    <w:div w:id="1604454051">
      <w:bodyDiv w:val="1"/>
      <w:marLeft w:val="0"/>
      <w:marRight w:val="0"/>
      <w:marTop w:val="0"/>
      <w:marBottom w:val="0"/>
      <w:divBdr>
        <w:top w:val="none" w:sz="0" w:space="0" w:color="auto"/>
        <w:left w:val="none" w:sz="0" w:space="0" w:color="auto"/>
        <w:bottom w:val="none" w:sz="0" w:space="0" w:color="auto"/>
        <w:right w:val="none" w:sz="0" w:space="0" w:color="auto"/>
      </w:divBdr>
    </w:div>
    <w:div w:id="1679037971">
      <w:bodyDiv w:val="1"/>
      <w:marLeft w:val="0"/>
      <w:marRight w:val="0"/>
      <w:marTop w:val="0"/>
      <w:marBottom w:val="0"/>
      <w:divBdr>
        <w:top w:val="none" w:sz="0" w:space="0" w:color="auto"/>
        <w:left w:val="none" w:sz="0" w:space="0" w:color="auto"/>
        <w:bottom w:val="none" w:sz="0" w:space="0" w:color="auto"/>
        <w:right w:val="none" w:sz="0" w:space="0" w:color="auto"/>
      </w:divBdr>
    </w:div>
    <w:div w:id="1941911731">
      <w:bodyDiv w:val="1"/>
      <w:marLeft w:val="0"/>
      <w:marRight w:val="0"/>
      <w:marTop w:val="0"/>
      <w:marBottom w:val="0"/>
      <w:divBdr>
        <w:top w:val="none" w:sz="0" w:space="0" w:color="auto"/>
        <w:left w:val="none" w:sz="0" w:space="0" w:color="auto"/>
        <w:bottom w:val="none" w:sz="0" w:space="0" w:color="auto"/>
        <w:right w:val="none" w:sz="0" w:space="0" w:color="auto"/>
      </w:divBdr>
    </w:div>
    <w:div w:id="2071880197">
      <w:bodyDiv w:val="1"/>
      <w:marLeft w:val="0"/>
      <w:marRight w:val="0"/>
      <w:marTop w:val="0"/>
      <w:marBottom w:val="0"/>
      <w:divBdr>
        <w:top w:val="none" w:sz="0" w:space="0" w:color="auto"/>
        <w:left w:val="none" w:sz="0" w:space="0" w:color="auto"/>
        <w:bottom w:val="none" w:sz="0" w:space="0" w:color="auto"/>
        <w:right w:val="none" w:sz="0" w:space="0" w:color="auto"/>
      </w:divBdr>
    </w:div>
    <w:div w:id="208969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ED17F6C56FA54199C50CA60A06290A" ma:contentTypeVersion="14" ma:contentTypeDescription="Crear nuevo documento." ma:contentTypeScope="" ma:versionID="df2af0b10a5c858f2201ed6aed6d8256">
  <xsd:schema xmlns:xsd="http://www.w3.org/2001/XMLSchema" xmlns:xs="http://www.w3.org/2001/XMLSchema" xmlns:p="http://schemas.microsoft.com/office/2006/metadata/properties" xmlns:ns3="7a2c6b5a-ea64-45b2-9589-e9bc6b9ac2ea" xmlns:ns4="486dfb82-0443-4e5c-babc-60d74d5cbae8" targetNamespace="http://schemas.microsoft.com/office/2006/metadata/properties" ma:root="true" ma:fieldsID="1e0d21d9a24bed3d95e608a674cc0765" ns3:_="" ns4:_="">
    <xsd:import namespace="7a2c6b5a-ea64-45b2-9589-e9bc6b9ac2ea"/>
    <xsd:import namespace="486dfb82-0443-4e5c-babc-60d74d5cbae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DateTaken"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2c6b5a-ea64-45b2-9589-e9bc6b9ac2e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6dfb82-0443-4e5c-babc-60d74d5cba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86dfb82-0443-4e5c-babc-60d74d5cbae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A8165-0F3E-47F6-8CD5-9036D3C42255}">
  <ds:schemaRefs>
    <ds:schemaRef ds:uri="http://schemas.microsoft.com/sharepoint/v3/contenttype/forms"/>
  </ds:schemaRefs>
</ds:datastoreItem>
</file>

<file path=customXml/itemProps2.xml><?xml version="1.0" encoding="utf-8"?>
<ds:datastoreItem xmlns:ds="http://schemas.openxmlformats.org/officeDocument/2006/customXml" ds:itemID="{8F230FCF-D659-432C-B15A-CA2A844EE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2c6b5a-ea64-45b2-9589-e9bc6b9ac2ea"/>
    <ds:schemaRef ds:uri="486dfb82-0443-4e5c-babc-60d74d5cb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8837-090A-4DC2-B7C4-4E1CB7320C3F}">
  <ds:schemaRefs>
    <ds:schemaRef ds:uri="http://schemas.microsoft.com/office/2006/documentManagement/types"/>
    <ds:schemaRef ds:uri="http://purl.org/dc/dcmitype/"/>
    <ds:schemaRef ds:uri="http://purl.org/dc/elements/1.1/"/>
    <ds:schemaRef ds:uri="7a2c6b5a-ea64-45b2-9589-e9bc6b9ac2ea"/>
    <ds:schemaRef ds:uri="http://purl.org/dc/terms/"/>
    <ds:schemaRef ds:uri="http://schemas.openxmlformats.org/package/2006/metadata/core-properties"/>
    <ds:schemaRef ds:uri="486dfb82-0443-4e5c-babc-60d74d5cbae8"/>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3C48F3D-0C7D-4BFB-A698-D93CEB1D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3282</Words>
  <Characters>18053</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Rincon, Luis Carlos</dc:creator>
  <cp:keywords/>
  <dc:description/>
  <cp:lastModifiedBy>Nohora Cecilia, Bonilla Valencia</cp:lastModifiedBy>
  <cp:revision>58</cp:revision>
  <cp:lastPrinted>2023-04-12T21:05:00Z</cp:lastPrinted>
  <dcterms:created xsi:type="dcterms:W3CDTF">2024-06-20T22:59:00Z</dcterms:created>
  <dcterms:modified xsi:type="dcterms:W3CDTF">2025-08-01T16:10:00Z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0x0101000CED17F6C56FA54199C50CA60A06290A</vt:lpwstr>
  </property>
</Properties>
</file>